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0866499D"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8559B3">
        <w:rPr>
          <w:rFonts w:ascii="Arial" w:eastAsia="Dotum" w:hAnsi="Arial" w:cs="Times New Roman"/>
          <w:b/>
          <w:bCs/>
          <w:kern w:val="0"/>
          <w:sz w:val="24"/>
          <w:szCs w:val="18"/>
          <w:lang w:val="en-GB"/>
        </w:rPr>
        <w:t>3</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R3-2</w:t>
      </w:r>
      <w:r w:rsidR="00A26D85">
        <w:rPr>
          <w:rFonts w:ascii="Arial" w:eastAsia="Dotum" w:hAnsi="Arial" w:cs="Times New Roman"/>
          <w:b/>
          <w:bCs/>
          <w:kern w:val="0"/>
          <w:sz w:val="24"/>
          <w:szCs w:val="18"/>
          <w:lang w:val="en-GB"/>
        </w:rPr>
        <w:t>1</w:t>
      </w:r>
      <w:r w:rsidR="00670878">
        <w:rPr>
          <w:rFonts w:ascii="Arial" w:eastAsia="Dotum" w:hAnsi="Arial" w:cs="Times New Roman"/>
          <w:b/>
          <w:bCs/>
          <w:kern w:val="0"/>
          <w:sz w:val="24"/>
          <w:szCs w:val="18"/>
          <w:lang w:val="en-GB"/>
        </w:rPr>
        <w:t>3691</w:t>
      </w:r>
    </w:p>
    <w:p w14:paraId="4BF14776" w14:textId="462CB04B"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D730A4">
        <w:rPr>
          <w:rFonts w:ascii="Arial" w:eastAsia="宋体" w:hAnsi="Arial" w:cs="黑体"/>
          <w:b/>
          <w:bCs/>
          <w:noProof/>
          <w:kern w:val="0"/>
          <w:sz w:val="24"/>
        </w:rPr>
        <w:t>1</w:t>
      </w:r>
      <w:r w:rsidR="008559B3">
        <w:rPr>
          <w:rFonts w:ascii="Arial" w:eastAsia="宋体" w:hAnsi="Arial" w:cs="黑体"/>
          <w:b/>
          <w:bCs/>
          <w:noProof/>
          <w:kern w:val="0"/>
          <w:sz w:val="24"/>
        </w:rPr>
        <w:t>6</w:t>
      </w:r>
      <w:r w:rsidR="00AA3FAE" w:rsidRPr="00A26D85">
        <w:rPr>
          <w:rFonts w:ascii="Arial" w:eastAsia="宋体" w:hAnsi="Arial" w:cs="黑体"/>
          <w:b/>
          <w:bCs/>
          <w:noProof/>
          <w:kern w:val="0"/>
          <w:sz w:val="24"/>
        </w:rPr>
        <w:t xml:space="preserve"> – </w:t>
      </w:r>
      <w:r w:rsidR="00D730A4">
        <w:rPr>
          <w:rFonts w:ascii="Arial" w:eastAsia="宋体" w:hAnsi="Arial" w:cs="黑体"/>
          <w:b/>
          <w:bCs/>
          <w:noProof/>
          <w:kern w:val="0"/>
          <w:sz w:val="24"/>
        </w:rPr>
        <w:t>2</w:t>
      </w:r>
      <w:r w:rsidR="008559B3">
        <w:rPr>
          <w:rFonts w:ascii="Arial" w:eastAsia="宋体" w:hAnsi="Arial" w:cs="黑体"/>
          <w:b/>
          <w:bCs/>
          <w:noProof/>
          <w:kern w:val="0"/>
          <w:sz w:val="24"/>
        </w:rPr>
        <w:t>6</w:t>
      </w:r>
      <w:r w:rsidR="00AA3FAE" w:rsidRPr="00A26D85">
        <w:rPr>
          <w:rFonts w:ascii="Arial" w:eastAsia="宋体" w:hAnsi="Arial" w:cs="黑体"/>
          <w:b/>
          <w:bCs/>
          <w:noProof/>
          <w:kern w:val="0"/>
          <w:sz w:val="24"/>
        </w:rPr>
        <w:t xml:space="preserve"> </w:t>
      </w:r>
      <w:r w:rsidR="008559B3">
        <w:rPr>
          <w:rFonts w:ascii="Arial" w:eastAsia="宋体" w:hAnsi="Arial" w:cs="黑体"/>
          <w:b/>
          <w:bCs/>
          <w:noProof/>
          <w:kern w:val="0"/>
          <w:sz w:val="24"/>
        </w:rPr>
        <w:t>August</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77777777"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w:t>
      </w:r>
      <w:r>
        <w:rPr>
          <w:rFonts w:ascii="Arial" w:eastAsia="宋体" w:hAnsi="Arial" w:cs="Times New Roman"/>
          <w:b/>
          <w:kern w:val="0"/>
          <w:sz w:val="22"/>
          <w:szCs w:val="20"/>
          <w:lang w:val="en-GB"/>
        </w:rPr>
        <w:t>1.1</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77777777" w:rsidR="00C72410" w:rsidRPr="007846F4" w:rsidRDefault="00C72410" w:rsidP="00C72410">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Pr="0036380C">
        <w:rPr>
          <w:rFonts w:ascii="Arial" w:eastAsia="宋体" w:hAnsi="Arial" w:cs="Times New Roman"/>
          <w:b/>
          <w:kern w:val="0"/>
          <w:sz w:val="22"/>
          <w:szCs w:val="20"/>
          <w:lang w:val="en-GB"/>
        </w:rPr>
        <w:t>Remaining issue</w:t>
      </w:r>
      <w:r>
        <w:rPr>
          <w:rFonts w:ascii="Arial" w:eastAsia="宋体" w:hAnsi="Arial" w:cs="Times New Roman"/>
          <w:b/>
          <w:kern w:val="0"/>
          <w:sz w:val="22"/>
          <w:szCs w:val="20"/>
          <w:lang w:val="en-GB"/>
        </w:rPr>
        <w:t>s</w:t>
      </w:r>
      <w:r w:rsidRPr="0036380C">
        <w:rPr>
          <w:rFonts w:ascii="Arial" w:eastAsia="宋体" w:hAnsi="Arial" w:cs="Times New Roman"/>
          <w:b/>
          <w:kern w:val="0"/>
          <w:sz w:val="22"/>
          <w:szCs w:val="20"/>
          <w:lang w:val="en-GB"/>
        </w:rPr>
        <w:t xml:space="preserve"> for IAB inter-</w:t>
      </w:r>
      <w:r>
        <w:rPr>
          <w:rFonts w:ascii="Arial" w:eastAsia="宋体" w:hAnsi="Arial" w:cs="Times New Roman"/>
          <w:b/>
          <w:kern w:val="0"/>
          <w:sz w:val="22"/>
          <w:szCs w:val="20"/>
          <w:lang w:val="en-GB"/>
        </w:rPr>
        <w:t>donor</w:t>
      </w:r>
      <w:r w:rsidRPr="0036380C">
        <w:rPr>
          <w:rFonts w:ascii="Arial" w:eastAsia="宋体" w:hAnsi="Arial" w:cs="Times New Roman"/>
          <w:b/>
          <w:kern w:val="0"/>
          <w:sz w:val="22"/>
          <w:szCs w:val="20"/>
          <w:lang w:val="en-GB"/>
        </w:rPr>
        <w:t xml:space="preserve"> migration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19912A" w14:textId="6192089B" w:rsidR="000566E1" w:rsidRDefault="00BC28D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R16, IAB i</w:t>
      </w:r>
      <w:r w:rsidR="007415A4">
        <w:rPr>
          <w:rFonts w:ascii="Times New Roman" w:eastAsia="宋体" w:hAnsi="Times New Roman" w:cs="Times New Roman"/>
          <w:kern w:val="0"/>
          <w:sz w:val="20"/>
          <w:szCs w:val="20"/>
        </w:rPr>
        <w:t>ntra-</w:t>
      </w:r>
      <w:r>
        <w:rPr>
          <w:rFonts w:ascii="Times New Roman" w:eastAsia="宋体" w:hAnsi="Times New Roman" w:cs="Times New Roman"/>
          <w:kern w:val="0"/>
          <w:sz w:val="20"/>
          <w:szCs w:val="20"/>
        </w:rPr>
        <w:t>donor</w:t>
      </w:r>
      <w:r w:rsidR="007415A4">
        <w:rPr>
          <w:rFonts w:ascii="Times New Roman" w:eastAsia="宋体" w:hAnsi="Times New Roman" w:cs="Times New Roman"/>
          <w:kern w:val="0"/>
          <w:sz w:val="20"/>
          <w:szCs w:val="20"/>
        </w:rPr>
        <w:t xml:space="preserve"> migration has been specified</w:t>
      </w:r>
      <w:r w:rsidR="004B28D8">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4B28D8">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nd </w:t>
      </w:r>
      <w:r w:rsidR="004B28D8">
        <w:rPr>
          <w:rFonts w:ascii="Times New Roman" w:eastAsia="宋体" w:hAnsi="Times New Roman" w:cs="Times New Roman"/>
          <w:kern w:val="0"/>
          <w:sz w:val="20"/>
          <w:szCs w:val="20"/>
        </w:rPr>
        <w:t xml:space="preserve">in the R17 the scenario has been extended to inter-donor migration which is the key feature of the IAB R17. After discussion by three e-meetings, the procedure of the IAB </w:t>
      </w:r>
      <w:r w:rsidR="004B28D8" w:rsidRPr="004B28D8">
        <w:rPr>
          <w:rFonts w:ascii="Times New Roman" w:eastAsia="宋体" w:hAnsi="Times New Roman" w:cs="Times New Roman"/>
          <w:kern w:val="0"/>
          <w:sz w:val="20"/>
          <w:szCs w:val="20"/>
        </w:rPr>
        <w:t>inter-donor migration</w:t>
      </w:r>
      <w:r w:rsidR="004B28D8">
        <w:rPr>
          <w:rFonts w:ascii="Times New Roman" w:eastAsia="宋体" w:hAnsi="Times New Roman" w:cs="Times New Roman"/>
          <w:kern w:val="0"/>
          <w:sz w:val="20"/>
          <w:szCs w:val="20"/>
        </w:rPr>
        <w:t xml:space="preserve"> becomes more and more clear, and some phased agreements have been achieved in the last RAN3 111-e </w:t>
      </w:r>
      <w:r w:rsidR="00F110DE">
        <w:rPr>
          <w:rFonts w:ascii="Times New Roman" w:eastAsia="宋体" w:hAnsi="Times New Roman" w:cs="Times New Roman"/>
          <w:kern w:val="0"/>
          <w:sz w:val="20"/>
          <w:szCs w:val="20"/>
        </w:rPr>
        <w:t xml:space="preserve">and RAN3 112-e </w:t>
      </w:r>
      <w:r w:rsidR="004B28D8">
        <w:rPr>
          <w:rFonts w:ascii="Times New Roman" w:eastAsia="宋体" w:hAnsi="Times New Roman" w:cs="Times New Roman"/>
          <w:kern w:val="0"/>
          <w:sz w:val="20"/>
          <w:szCs w:val="20"/>
        </w:rPr>
        <w:t>meeting</w:t>
      </w:r>
      <w:r w:rsidR="00F110DE">
        <w:rPr>
          <w:rFonts w:ascii="Times New Roman" w:eastAsia="宋体" w:hAnsi="Times New Roman" w:cs="Times New Roman"/>
          <w:kern w:val="0"/>
          <w:sz w:val="20"/>
          <w:szCs w:val="20"/>
        </w:rPr>
        <w:t>s</w:t>
      </w:r>
      <w:r w:rsidR="000B7397">
        <w:rPr>
          <w:rFonts w:ascii="Times New Roman" w:eastAsia="宋体" w:hAnsi="Times New Roman" w:cs="Times New Roman"/>
          <w:kern w:val="0"/>
          <w:sz w:val="20"/>
          <w:szCs w:val="20"/>
        </w:rPr>
        <w:t xml:space="preserve"> [1]</w:t>
      </w:r>
      <w:r w:rsidR="00F110DE">
        <w:rPr>
          <w:rFonts w:ascii="Times New Roman" w:eastAsia="宋体" w:hAnsi="Times New Roman" w:cs="Times New Roman"/>
          <w:kern w:val="0"/>
          <w:sz w:val="20"/>
          <w:szCs w:val="20"/>
        </w:rPr>
        <w:t>[2]</w:t>
      </w:r>
      <w:r w:rsidR="004B28D8">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073FB6">
        <w:trPr>
          <w:trHeight w:val="3676"/>
        </w:trPr>
        <w:tc>
          <w:tcPr>
            <w:tcW w:w="9670" w:type="dxa"/>
          </w:tcPr>
          <w:p w14:paraId="71817B4D" w14:textId="3F2BE169"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w:t>
            </w:r>
            <w:r w:rsidR="007415A4">
              <w:rPr>
                <w:rFonts w:ascii="Times New Roman" w:eastAsia="宋体" w:hAnsi="Times New Roman" w:cs="Times New Roman"/>
                <w:kern w:val="0"/>
                <w:sz w:val="20"/>
                <w:szCs w:val="20"/>
              </w:rPr>
              <w:t>1</w:t>
            </w:r>
            <w:r>
              <w:rPr>
                <w:rFonts w:ascii="Times New Roman" w:eastAsia="宋体" w:hAnsi="Times New Roman" w:cs="Times New Roman"/>
                <w:kern w:val="0"/>
                <w:sz w:val="20"/>
                <w:szCs w:val="20"/>
              </w:rPr>
              <w:t>-e</w:t>
            </w:r>
            <w:r w:rsidR="00C31487">
              <w:rPr>
                <w:rFonts w:ascii="Times New Roman" w:eastAsia="宋体" w:hAnsi="Times New Roman" w:cs="Times New Roman"/>
                <w:kern w:val="0"/>
                <w:sz w:val="20"/>
                <w:szCs w:val="20"/>
              </w:rPr>
              <w:t>:</w:t>
            </w:r>
          </w:p>
          <w:p w14:paraId="54775864"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For a single-connected IAB-MT:</w:t>
            </w:r>
          </w:p>
          <w:p w14:paraId="0186C601"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The procedure for inter-donor migration of a (top-level) migrating IAB-MT supports:</w:t>
            </w:r>
          </w:p>
          <w:p w14:paraId="2A66C764"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 xml:space="preserve">- reuse </w:t>
            </w:r>
            <w:proofErr w:type="spellStart"/>
            <w:r w:rsidRPr="007415A4">
              <w:rPr>
                <w:rFonts w:ascii="Calibri" w:hAnsi="Calibri" w:cs="Calibri"/>
                <w:b/>
                <w:bCs/>
                <w:color w:val="00B050"/>
                <w:sz w:val="20"/>
                <w:szCs w:val="20"/>
              </w:rPr>
              <w:t>Xn</w:t>
            </w:r>
            <w:proofErr w:type="spellEnd"/>
            <w:r w:rsidRPr="007415A4">
              <w:rPr>
                <w:rFonts w:ascii="Calibri" w:hAnsi="Calibri" w:cs="Calibri"/>
                <w:b/>
                <w:bCs/>
                <w:color w:val="00B050"/>
                <w:sz w:val="20"/>
                <w:szCs w:val="20"/>
              </w:rPr>
              <w:t xml:space="preserve"> handover procedure of the (top-level) migrating IAB-MT between two parent nodes connected to different IAB-donors, and</w:t>
            </w:r>
          </w:p>
          <w:p w14:paraId="43FC158E"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 the migration of F1 transport path for the collocated and all descendent IAB-DUs (i.e. the anchor nodes for the logical F1 connection do not change)</w:t>
            </w:r>
          </w:p>
          <w:p w14:paraId="38D3BFD7"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Inter-donor migration may terminate after top-level IAB-MT migration</w:t>
            </w:r>
          </w:p>
          <w:p w14:paraId="2E7375C5" w14:textId="77777777" w:rsidR="007415A4" w:rsidRPr="007415A4" w:rsidRDefault="007415A4" w:rsidP="007415A4">
            <w:pPr>
              <w:ind w:left="144" w:hanging="144"/>
              <w:rPr>
                <w:rFonts w:ascii="Calibri" w:hAnsi="Calibri" w:cs="Calibri"/>
                <w:b/>
                <w:bCs/>
                <w:color w:val="00B050"/>
                <w:sz w:val="20"/>
                <w:szCs w:val="20"/>
              </w:rPr>
            </w:pPr>
          </w:p>
          <w:p w14:paraId="1E79D82A"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WA:</w:t>
            </w:r>
          </w:p>
          <w:p w14:paraId="436695AE"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migration of collocated IAB-DU after the migration of the (top-level) migrating IAB-MT, is not precluded</w:t>
            </w:r>
          </w:p>
          <w:p w14:paraId="5189068E"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 xml:space="preserve">If collocated IAB-DU is migrated, the Inter-donor migration procedure involves, among others: </w:t>
            </w:r>
          </w:p>
          <w:p w14:paraId="10CD6755" w14:textId="77777777" w:rsidR="007415A4" w:rsidRPr="007415A4" w:rsidRDefault="007415A4" w:rsidP="007415A4">
            <w:pPr>
              <w:ind w:left="144" w:hanging="144"/>
              <w:rPr>
                <w:rFonts w:ascii="Calibri" w:hAnsi="Calibri" w:cs="Calibri"/>
                <w:b/>
                <w:bCs/>
                <w:color w:val="00B050"/>
                <w:sz w:val="20"/>
                <w:szCs w:val="20"/>
              </w:rPr>
            </w:pPr>
            <w:r w:rsidRPr="007415A4">
              <w:rPr>
                <w:rFonts w:ascii="Calibri" w:hAnsi="Calibri" w:cs="Calibri"/>
                <w:b/>
                <w:bCs/>
                <w:color w:val="00B050"/>
                <w:sz w:val="20"/>
                <w:szCs w:val="20"/>
              </w:rPr>
              <w:t xml:space="preserve">- the establishment of an F1-C association to the target donor, and </w:t>
            </w:r>
          </w:p>
          <w:p w14:paraId="3AEF4516" w14:textId="5553E512" w:rsidR="00505DDA" w:rsidRPr="00505DDA" w:rsidRDefault="007415A4" w:rsidP="00505DDA">
            <w:pPr>
              <w:ind w:left="144" w:hanging="144"/>
              <w:rPr>
                <w:rFonts w:ascii="Calibri" w:hAnsi="Calibri" w:cs="Calibri"/>
                <w:b/>
                <w:bCs/>
                <w:color w:val="00B050"/>
                <w:sz w:val="20"/>
                <w:szCs w:val="20"/>
              </w:rPr>
            </w:pPr>
            <w:r w:rsidRPr="007415A4">
              <w:rPr>
                <w:rFonts w:ascii="Calibri" w:hAnsi="Calibri" w:cs="Calibri"/>
                <w:b/>
                <w:bCs/>
                <w:color w:val="00B050"/>
                <w:sz w:val="20"/>
                <w:szCs w:val="20"/>
              </w:rPr>
              <w:t>- the context migration of the IAB-DU’s UEs and child IAB-MTs to the target CU.</w:t>
            </w:r>
          </w:p>
          <w:p w14:paraId="332CFC36" w14:textId="77777777" w:rsidR="00505DDA" w:rsidRPr="00505DDA" w:rsidRDefault="00505DDA" w:rsidP="00F110D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505DDA">
              <w:rPr>
                <w:rFonts w:ascii="Times New Roman" w:eastAsia="宋体" w:hAnsi="Times New Roman" w:cs="Times New Roman" w:hint="eastAsia"/>
                <w:kern w:val="0"/>
                <w:sz w:val="20"/>
                <w:szCs w:val="20"/>
              </w:rPr>
              <w:t>R</w:t>
            </w:r>
            <w:r w:rsidRPr="00505DDA">
              <w:rPr>
                <w:rFonts w:ascii="Times New Roman" w:eastAsia="宋体" w:hAnsi="Times New Roman" w:cs="Times New Roman"/>
                <w:kern w:val="0"/>
                <w:sz w:val="20"/>
                <w:szCs w:val="20"/>
              </w:rPr>
              <w:t>AN3 112-e:</w:t>
            </w:r>
          </w:p>
          <w:p w14:paraId="5AD7182B"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For IP address assignment of boundary IAB node (outer IP address assignment for </w:t>
            </w:r>
            <w:proofErr w:type="spellStart"/>
            <w:r w:rsidRPr="00D05DAE">
              <w:rPr>
                <w:rFonts w:ascii="Calibri" w:hAnsi="Calibri" w:cs="Calibri"/>
                <w:b/>
                <w:bCs/>
                <w:color w:val="00B050"/>
                <w:sz w:val="18"/>
                <w:szCs w:val="24"/>
              </w:rPr>
              <w:t>IPSec</w:t>
            </w:r>
            <w:proofErr w:type="spellEnd"/>
            <w:r w:rsidRPr="00D05DAE">
              <w:rPr>
                <w:rFonts w:ascii="Calibri" w:hAnsi="Calibri" w:cs="Calibri"/>
                <w:b/>
                <w:bCs/>
                <w:color w:val="00B050"/>
                <w:sz w:val="18"/>
                <w:szCs w:val="24"/>
              </w:rPr>
              <w:t xml:space="preserve"> tunnel mode) during inter-donor migration (regardless of Partial migration or Full migration)</w:t>
            </w:r>
          </w:p>
          <w:p w14:paraId="08C715AC"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IP address request via RRC container relies on RAN2 inputs</w:t>
            </w:r>
          </w:p>
          <w:p w14:paraId="58972F1D"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The new IP address(es) should be explicitly provided to the source donor CU for </w:t>
            </w:r>
            <w:proofErr w:type="spellStart"/>
            <w:r w:rsidRPr="00D05DAE">
              <w:rPr>
                <w:rFonts w:ascii="Calibri" w:hAnsi="Calibri" w:cs="Calibri"/>
                <w:b/>
                <w:bCs/>
                <w:color w:val="00B050"/>
                <w:sz w:val="18"/>
                <w:szCs w:val="24"/>
              </w:rPr>
              <w:t>IPSec</w:t>
            </w:r>
            <w:proofErr w:type="spellEnd"/>
            <w:r w:rsidRPr="00D05DAE">
              <w:rPr>
                <w:rFonts w:ascii="Calibri" w:hAnsi="Calibri" w:cs="Calibri"/>
                <w:b/>
                <w:bCs/>
                <w:color w:val="00B050"/>
                <w:sz w:val="18"/>
                <w:szCs w:val="24"/>
              </w:rPr>
              <w:t xml:space="preserve"> transport mode (non-</w:t>
            </w:r>
            <w:proofErr w:type="spellStart"/>
            <w:r w:rsidRPr="00D05DAE">
              <w:rPr>
                <w:rFonts w:ascii="Calibri" w:hAnsi="Calibri" w:cs="Calibri"/>
                <w:b/>
                <w:bCs/>
                <w:color w:val="00B050"/>
                <w:sz w:val="18"/>
                <w:szCs w:val="24"/>
              </w:rPr>
              <w:t>IPSec</w:t>
            </w:r>
            <w:proofErr w:type="spellEnd"/>
            <w:r w:rsidRPr="00D05DAE">
              <w:rPr>
                <w:rFonts w:ascii="Calibri" w:hAnsi="Calibri" w:cs="Calibri"/>
                <w:b/>
                <w:bCs/>
                <w:color w:val="00B050"/>
                <w:sz w:val="18"/>
                <w:szCs w:val="24"/>
              </w:rPr>
              <w:t xml:space="preserve"> case FFS). </w:t>
            </w:r>
          </w:p>
          <w:p w14:paraId="3AF75E40" w14:textId="77777777" w:rsidR="00505DDA" w:rsidRPr="00D05DAE" w:rsidRDefault="00505DDA" w:rsidP="00505DDA">
            <w:pPr>
              <w:ind w:leftChars="100" w:left="354" w:hanging="144"/>
              <w:rPr>
                <w:rFonts w:ascii="Calibri" w:hAnsi="Calibri" w:cs="Calibri"/>
                <w:b/>
                <w:bCs/>
                <w:color w:val="00B050"/>
                <w:sz w:val="18"/>
                <w:szCs w:val="24"/>
              </w:rPr>
            </w:pPr>
            <w:r w:rsidRPr="00D05DAE">
              <w:rPr>
                <w:rFonts w:ascii="Calibri" w:hAnsi="Calibri" w:cs="Calibri"/>
                <w:b/>
                <w:bCs/>
                <w:color w:val="00B050"/>
                <w:sz w:val="18"/>
                <w:szCs w:val="24"/>
              </w:rPr>
              <w:t>-- FFS on which signaling is used (Handover Request ACK message vs. GNB-DU CONFIGURATION UPDATE message)</w:t>
            </w:r>
          </w:p>
          <w:p w14:paraId="3EE79A9C" w14:textId="77777777" w:rsidR="00505DDA" w:rsidRPr="00D05DAE" w:rsidRDefault="00505DDA" w:rsidP="00505DDA">
            <w:pPr>
              <w:ind w:leftChars="100" w:left="354" w:hanging="144"/>
              <w:rPr>
                <w:rFonts w:ascii="Calibri" w:hAnsi="Calibri" w:cs="Calibri"/>
                <w:b/>
                <w:bCs/>
                <w:color w:val="00B050"/>
                <w:sz w:val="18"/>
                <w:szCs w:val="24"/>
              </w:rPr>
            </w:pPr>
            <w:r w:rsidRPr="00D05DAE">
              <w:rPr>
                <w:rFonts w:ascii="Calibri" w:hAnsi="Calibri" w:cs="Calibri"/>
                <w:b/>
                <w:bCs/>
                <w:color w:val="00B050"/>
                <w:sz w:val="18"/>
                <w:szCs w:val="24"/>
              </w:rPr>
              <w:t xml:space="preserve">-- FFS on whether it is applied for </w:t>
            </w:r>
            <w:proofErr w:type="spellStart"/>
            <w:r w:rsidRPr="00D05DAE">
              <w:rPr>
                <w:rFonts w:ascii="Calibri" w:hAnsi="Calibri" w:cs="Calibri"/>
                <w:b/>
                <w:bCs/>
                <w:color w:val="00B050"/>
                <w:sz w:val="18"/>
                <w:szCs w:val="24"/>
              </w:rPr>
              <w:t>IPSec</w:t>
            </w:r>
            <w:proofErr w:type="spellEnd"/>
            <w:r w:rsidRPr="00D05DAE">
              <w:rPr>
                <w:rFonts w:ascii="Calibri" w:hAnsi="Calibri" w:cs="Calibri"/>
                <w:b/>
                <w:bCs/>
                <w:color w:val="00B050"/>
                <w:sz w:val="18"/>
                <w:szCs w:val="24"/>
              </w:rPr>
              <w:t xml:space="preserve"> tunnel mode </w:t>
            </w:r>
          </w:p>
          <w:p w14:paraId="562338F3"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FFS on providing </w:t>
            </w:r>
            <w:bookmarkStart w:id="2" w:name="OLE_LINK21"/>
            <w:bookmarkStart w:id="3" w:name="OLE_LINK22"/>
            <w:r w:rsidRPr="00D05DAE">
              <w:rPr>
                <w:rFonts w:ascii="Calibri" w:hAnsi="Calibri" w:cs="Calibri"/>
                <w:b/>
                <w:bCs/>
                <w:color w:val="00B050"/>
                <w:sz w:val="18"/>
                <w:szCs w:val="24"/>
              </w:rPr>
              <w:t>the coupling of IP addresses used in the CU1 network and in the CU2 network</w:t>
            </w:r>
            <w:bookmarkEnd w:id="2"/>
            <w:bookmarkEnd w:id="3"/>
          </w:p>
          <w:p w14:paraId="204C99CC"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FFS on updating IP address of source IAB donor CU</w:t>
            </w:r>
          </w:p>
          <w:p w14:paraId="277ED4AA" w14:textId="77777777" w:rsidR="00505DDA" w:rsidRDefault="00505DDA" w:rsidP="00505DDA">
            <w:pPr>
              <w:ind w:left="144" w:hanging="144"/>
              <w:rPr>
                <w:rFonts w:ascii="Calibri" w:hAnsi="Calibri" w:cs="Calibri"/>
                <w:b/>
                <w:bCs/>
                <w:color w:val="00B050"/>
                <w:sz w:val="18"/>
                <w:szCs w:val="24"/>
              </w:rPr>
            </w:pPr>
          </w:p>
          <w:p w14:paraId="35B4E095" w14:textId="41A9BB2F"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St2 procedure for the inter-donor migration to include the following phases:</w:t>
            </w:r>
          </w:p>
          <w:p w14:paraId="771873D1"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Phase 1: Serving cell change of the boundary IAB-MT using </w:t>
            </w:r>
            <w:proofErr w:type="spellStart"/>
            <w:r w:rsidRPr="00D05DAE">
              <w:rPr>
                <w:rFonts w:ascii="Calibri" w:hAnsi="Calibri" w:cs="Calibri"/>
                <w:b/>
                <w:bCs/>
                <w:color w:val="00B050"/>
                <w:sz w:val="18"/>
                <w:szCs w:val="24"/>
              </w:rPr>
              <w:t>Xn</w:t>
            </w:r>
            <w:proofErr w:type="spellEnd"/>
            <w:r w:rsidRPr="00D05DAE">
              <w:rPr>
                <w:rFonts w:ascii="Calibri" w:hAnsi="Calibri" w:cs="Calibri"/>
                <w:b/>
                <w:bCs/>
                <w:color w:val="00B050"/>
                <w:sz w:val="18"/>
                <w:szCs w:val="24"/>
              </w:rPr>
              <w:t xml:space="preserve"> handover. </w:t>
            </w:r>
          </w:p>
          <w:p w14:paraId="002001E8" w14:textId="77777777" w:rsidR="00505DDA" w:rsidRPr="00D05DAE"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Phase 2: Migration of F1 transport path. </w:t>
            </w:r>
          </w:p>
          <w:p w14:paraId="66F5C0D3" w14:textId="77777777" w:rsidR="00505DDA" w:rsidRPr="00D05DAE" w:rsidRDefault="00505DDA" w:rsidP="00505DDA">
            <w:pPr>
              <w:ind w:left="144" w:hanging="144"/>
              <w:rPr>
                <w:rFonts w:ascii="Calibri" w:hAnsi="Calibri" w:cs="Calibri"/>
                <w:color w:val="000000"/>
                <w:sz w:val="18"/>
                <w:szCs w:val="24"/>
              </w:rPr>
            </w:pPr>
          </w:p>
          <w:p w14:paraId="7CF34A8C" w14:textId="53A3E48C" w:rsidR="00505DDA" w:rsidRDefault="00505DDA" w:rsidP="00505DDA">
            <w:pPr>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UEs accessing to boundary IAB node and to descendant node(s) shall not be impacted by the F1 transport path migration. </w:t>
            </w:r>
          </w:p>
          <w:p w14:paraId="5183A04E" w14:textId="77777777" w:rsidR="00505DDA" w:rsidRPr="00D05DAE" w:rsidRDefault="00505DDA" w:rsidP="00505DDA">
            <w:pPr>
              <w:ind w:left="144" w:hanging="144"/>
              <w:rPr>
                <w:rFonts w:ascii="Calibri" w:hAnsi="Calibri" w:cs="Calibri"/>
                <w:b/>
                <w:bCs/>
                <w:color w:val="00B050"/>
                <w:sz w:val="18"/>
                <w:szCs w:val="24"/>
              </w:rPr>
            </w:pPr>
          </w:p>
          <w:p w14:paraId="1C7FDAAB" w14:textId="77777777" w:rsidR="00505DDA" w:rsidRPr="00D05DAE" w:rsidRDefault="00505DDA" w:rsidP="00505DDA">
            <w:pPr>
              <w:rPr>
                <w:rFonts w:ascii="Calibri" w:hAnsi="Calibri" w:cs="Calibri"/>
                <w:b/>
                <w:bCs/>
                <w:color w:val="00B050"/>
                <w:sz w:val="18"/>
                <w:szCs w:val="24"/>
              </w:rPr>
            </w:pPr>
            <w:r w:rsidRPr="00D05DAE">
              <w:rPr>
                <w:rFonts w:ascii="Calibri" w:hAnsi="Calibri" w:cs="Calibri"/>
                <w:b/>
                <w:bCs/>
                <w:color w:val="00B050"/>
                <w:sz w:val="18"/>
                <w:szCs w:val="24"/>
              </w:rPr>
              <w:t>The following two implementation alternatives, which involve two logical IAB-DUs at the boundary IAB node, are to be further discussed in the scope of Full Migration:</w:t>
            </w:r>
          </w:p>
          <w:p w14:paraId="6FF484B2" w14:textId="77777777" w:rsidR="00505DDA" w:rsidRPr="00D05DAE" w:rsidRDefault="00505DDA" w:rsidP="00505DDA">
            <w:pPr>
              <w:rPr>
                <w:rFonts w:ascii="Calibri" w:hAnsi="Calibri" w:cs="Calibri"/>
                <w:b/>
                <w:bCs/>
                <w:color w:val="00B050"/>
                <w:sz w:val="18"/>
                <w:szCs w:val="24"/>
              </w:rPr>
            </w:pPr>
            <w:r w:rsidRPr="00D05DAE">
              <w:rPr>
                <w:rFonts w:ascii="Calibri" w:hAnsi="Calibri" w:cs="Calibri"/>
                <w:b/>
                <w:bCs/>
                <w:color w:val="00B050"/>
                <w:sz w:val="18"/>
                <w:szCs w:val="24"/>
              </w:rPr>
              <w:t>- Alt1: the two logical DUs use separate physical cell resources</w:t>
            </w:r>
          </w:p>
          <w:p w14:paraId="2E4F9035" w14:textId="08825568" w:rsidR="00505DDA" w:rsidRPr="007415A4" w:rsidRDefault="00505DDA" w:rsidP="00505DDA">
            <w:pPr>
              <w:rPr>
                <w:rFonts w:ascii="Calibri" w:hAnsi="Calibri" w:cs="Calibri"/>
                <w:b/>
                <w:bCs/>
                <w:color w:val="00B050"/>
                <w:sz w:val="18"/>
                <w:szCs w:val="24"/>
              </w:rPr>
            </w:pPr>
            <w:r w:rsidRPr="00D05DAE">
              <w:rPr>
                <w:rFonts w:ascii="Calibri" w:hAnsi="Calibri" w:cs="Calibri"/>
                <w:b/>
                <w:bCs/>
                <w:color w:val="00B050"/>
                <w:sz w:val="18"/>
                <w:szCs w:val="24"/>
              </w:rPr>
              <w:t>- Alt2: the two logical DUs use the same physical cell resources</w:t>
            </w:r>
          </w:p>
        </w:tc>
      </w:tr>
    </w:tbl>
    <w:p w14:paraId="7708A6CC" w14:textId="6BDE06CB"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aspects for </w:t>
      </w:r>
      <w:r w:rsidR="00BE3D97">
        <w:rPr>
          <w:rFonts w:ascii="Times New Roman" w:eastAsia="宋体" w:hAnsi="Times New Roman" w:cs="Times New Roman"/>
          <w:kern w:val="0"/>
          <w:sz w:val="20"/>
          <w:szCs w:val="20"/>
        </w:rPr>
        <w:t xml:space="preserve">IAB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F67B2B">
        <w:rPr>
          <w:rFonts w:ascii="Times New Roman" w:eastAsia="宋体" w:hAnsi="Times New Roman" w:cs="Times New Roman"/>
          <w:kern w:val="0"/>
          <w:sz w:val="20"/>
          <w:szCs w:val="20"/>
        </w:rPr>
        <w:t xml:space="preserve"> </w:t>
      </w:r>
      <w:r w:rsidR="00BE3D97">
        <w:rPr>
          <w:rFonts w:ascii="Times New Roman" w:eastAsia="宋体" w:hAnsi="Times New Roman" w:cs="Times New Roman"/>
          <w:kern w:val="0"/>
          <w:sz w:val="20"/>
          <w:szCs w:val="20"/>
        </w:rPr>
        <w:t>migration</w:t>
      </w:r>
      <w:r w:rsidR="00D104F6">
        <w:rPr>
          <w:rFonts w:ascii="Times New Roman" w:eastAsia="宋体" w:hAnsi="Times New Roman" w:cs="Times New Roman"/>
          <w:kern w:val="0"/>
          <w:sz w:val="20"/>
          <w:szCs w:val="20"/>
        </w:rPr>
        <w:t xml:space="preserve"> </w:t>
      </w:r>
      <w:r w:rsidR="0089098B">
        <w:rPr>
          <w:rFonts w:ascii="Times New Roman" w:eastAsia="宋体" w:hAnsi="Times New Roman" w:cs="Times New Roman"/>
          <w:kern w:val="0"/>
          <w:sz w:val="20"/>
          <w:szCs w:val="20"/>
        </w:rPr>
        <w:t>are</w:t>
      </w:r>
      <w:r>
        <w:rPr>
          <w:rFonts w:ascii="Times New Roman" w:eastAsia="宋体" w:hAnsi="Times New Roman" w:cs="Times New Roman"/>
          <w:kern w:val="0"/>
          <w:sz w:val="20"/>
          <w:szCs w:val="20"/>
        </w:rPr>
        <w:t xml:space="preserve"> further </w:t>
      </w:r>
      <w:r w:rsidR="00F67B2B">
        <w:rPr>
          <w:rFonts w:ascii="Times New Roman" w:eastAsia="宋体" w:hAnsi="Times New Roman" w:cs="Times New Roman"/>
          <w:kern w:val="0"/>
          <w:sz w:val="20"/>
          <w:szCs w:val="20"/>
        </w:rPr>
        <w:t xml:space="preserve">discussed, including </w:t>
      </w:r>
      <w:r w:rsidR="005A5770">
        <w:rPr>
          <w:rFonts w:ascii="Times New Roman" w:eastAsia="宋体" w:hAnsi="Times New Roman" w:cs="Times New Roman"/>
          <w:kern w:val="0"/>
          <w:sz w:val="20"/>
          <w:szCs w:val="20"/>
        </w:rPr>
        <w:t>IP address management</w:t>
      </w:r>
      <w:r w:rsidR="00BE3D97">
        <w:rPr>
          <w:rFonts w:ascii="Times New Roman" w:eastAsia="宋体" w:hAnsi="Times New Roman" w:cs="Times New Roman"/>
          <w:kern w:val="0"/>
          <w:sz w:val="20"/>
          <w:szCs w:val="20"/>
        </w:rPr>
        <w:t xml:space="preserve">, </w:t>
      </w:r>
      <w:r w:rsidR="005A5770">
        <w:rPr>
          <w:rFonts w:ascii="Times New Roman" w:eastAsia="宋体" w:hAnsi="Times New Roman" w:cs="Times New Roman"/>
          <w:kern w:val="0"/>
          <w:sz w:val="20"/>
          <w:szCs w:val="20"/>
        </w:rPr>
        <w:t>and the</w:t>
      </w:r>
      <w:r w:rsidR="00BE3D97">
        <w:rPr>
          <w:rFonts w:ascii="Times New Roman" w:eastAsia="宋体" w:hAnsi="Times New Roman" w:cs="Times New Roman"/>
          <w:kern w:val="0"/>
          <w:sz w:val="20"/>
          <w:szCs w:val="20"/>
        </w:rPr>
        <w:t xml:space="preserve"> routing and bearer mapping for the </w:t>
      </w:r>
      <w:r w:rsidR="005A5770">
        <w:rPr>
          <w:rFonts w:ascii="Times New Roman" w:eastAsia="宋体" w:hAnsi="Times New Roman" w:cs="Times New Roman"/>
          <w:kern w:val="0"/>
          <w:sz w:val="20"/>
          <w:szCs w:val="20"/>
        </w:rPr>
        <w:t>boundary</w:t>
      </w:r>
      <w:r w:rsidR="00BE3D97">
        <w:rPr>
          <w:rFonts w:ascii="Times New Roman" w:eastAsia="宋体" w:hAnsi="Times New Roman" w:cs="Times New Roman"/>
          <w:kern w:val="0"/>
          <w:sz w:val="20"/>
          <w:szCs w:val="20"/>
        </w:rPr>
        <w:t xml:space="preserve"> IAB node</w:t>
      </w:r>
      <w:r w:rsidR="00F910F0">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lastRenderedPageBreak/>
        <w:t>Discussion</w:t>
      </w:r>
    </w:p>
    <w:p w14:paraId="5D57D426" w14:textId="5ADE8EDD" w:rsidR="007F26BE" w:rsidRDefault="007F26BE" w:rsidP="007F26B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b/>
          <w:bCs/>
          <w:kern w:val="0"/>
          <w:sz w:val="22"/>
          <w:u w:val="single"/>
        </w:rPr>
        <w:t>IP address management</w:t>
      </w:r>
    </w:p>
    <w:p w14:paraId="68AF21B5" w14:textId="5C208F15" w:rsidR="007F26BE" w:rsidRDefault="002F139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last RAN3 112-e meeting, several agreements had been achieved for IP address management. However, there still some issues remain FFS and should be addressed in this meeting.</w:t>
      </w:r>
    </w:p>
    <w:p w14:paraId="604DAA5A" w14:textId="5E136CD7" w:rsidR="002F139A" w:rsidRDefault="002F139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for the e</w:t>
      </w:r>
      <w:r w:rsidRPr="002F139A">
        <w:rPr>
          <w:rFonts w:ascii="Times New Roman" w:eastAsia="宋体" w:hAnsi="Times New Roman" w:cs="Times New Roman"/>
          <w:kern w:val="0"/>
          <w:sz w:val="20"/>
          <w:szCs w:val="20"/>
        </w:rPr>
        <w:t xml:space="preserve">xplicit IP address </w:t>
      </w:r>
      <w:bookmarkStart w:id="4" w:name="OLE_LINK23"/>
      <w:bookmarkStart w:id="5" w:name="OLE_LINK24"/>
      <w:r w:rsidRPr="002F139A">
        <w:rPr>
          <w:rFonts w:ascii="Times New Roman" w:eastAsia="宋体" w:hAnsi="Times New Roman" w:cs="Times New Roman"/>
          <w:kern w:val="0"/>
          <w:sz w:val="20"/>
          <w:szCs w:val="20"/>
        </w:rPr>
        <w:t>provision</w:t>
      </w:r>
      <w:bookmarkEnd w:id="4"/>
      <w:bookmarkEnd w:id="5"/>
      <w:r w:rsidRPr="002F139A">
        <w:rPr>
          <w:rFonts w:ascii="Times New Roman" w:eastAsia="宋体" w:hAnsi="Times New Roman" w:cs="Times New Roman"/>
          <w:kern w:val="0"/>
          <w:sz w:val="20"/>
          <w:szCs w:val="20"/>
        </w:rPr>
        <w:t xml:space="preserve"> to the source donor CU</w:t>
      </w:r>
      <w:r>
        <w:rPr>
          <w:rFonts w:ascii="Times New Roman" w:eastAsia="宋体" w:hAnsi="Times New Roman" w:cs="Times New Roman"/>
          <w:kern w:val="0"/>
          <w:sz w:val="20"/>
          <w:szCs w:val="20"/>
        </w:rPr>
        <w:t>, it had been agreed that t</w:t>
      </w:r>
      <w:r w:rsidRPr="002F139A">
        <w:rPr>
          <w:rFonts w:ascii="Times New Roman" w:eastAsia="宋体" w:hAnsi="Times New Roman" w:cs="Times New Roman"/>
          <w:kern w:val="0"/>
          <w:sz w:val="20"/>
          <w:szCs w:val="20"/>
        </w:rPr>
        <w:t xml:space="preserve">he new IP address(es) should be explicitly provided to the source donor CU for </w:t>
      </w:r>
      <w:proofErr w:type="spellStart"/>
      <w:r w:rsidRPr="002F139A">
        <w:rPr>
          <w:rFonts w:ascii="Times New Roman" w:eastAsia="宋体" w:hAnsi="Times New Roman" w:cs="Times New Roman"/>
          <w:kern w:val="0"/>
          <w:sz w:val="20"/>
          <w:szCs w:val="20"/>
        </w:rPr>
        <w:t>IPSec</w:t>
      </w:r>
      <w:proofErr w:type="spellEnd"/>
      <w:r w:rsidRPr="002F139A">
        <w:rPr>
          <w:rFonts w:ascii="Times New Roman" w:eastAsia="宋体" w:hAnsi="Times New Roman" w:cs="Times New Roman"/>
          <w:kern w:val="0"/>
          <w:sz w:val="20"/>
          <w:szCs w:val="20"/>
        </w:rPr>
        <w:t xml:space="preserve"> transport mode</w:t>
      </w:r>
      <w:r>
        <w:rPr>
          <w:rFonts w:ascii="Times New Roman" w:eastAsia="宋体" w:hAnsi="Times New Roman" w:cs="Times New Roman"/>
          <w:kern w:val="0"/>
          <w:sz w:val="20"/>
          <w:szCs w:val="20"/>
        </w:rPr>
        <w:t>. In addition, for the IPsec tunnel mode, source donor CU also needs to communicate with boundary IAB node via the new outer IP address</w:t>
      </w:r>
      <w:r w:rsidR="006160EC">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 e.g. the DL destination IP address</w:t>
      </w:r>
      <w:r w:rsidR="006160EC">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 xml:space="preserve"> need to be updated by the source CU for the DL data transport.</w:t>
      </w:r>
    </w:p>
    <w:p w14:paraId="53963B04" w14:textId="38C373B4" w:rsidR="006160EC" w:rsidRPr="001E557D" w:rsidRDefault="00D101EF"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101EF">
        <w:rPr>
          <w:rFonts w:ascii="Times New Roman" w:eastAsia="宋体" w:hAnsi="Times New Roman" w:cs="Times New Roman" w:hint="eastAsia"/>
          <w:b/>
          <w:bCs/>
          <w:kern w:val="0"/>
          <w:sz w:val="20"/>
          <w:szCs w:val="20"/>
        </w:rPr>
        <w:t>P</w:t>
      </w:r>
      <w:r w:rsidRPr="00D101EF">
        <w:rPr>
          <w:rFonts w:ascii="Times New Roman" w:eastAsia="宋体" w:hAnsi="Times New Roman" w:cs="Times New Roman"/>
          <w:b/>
          <w:bCs/>
          <w:kern w:val="0"/>
          <w:sz w:val="20"/>
          <w:szCs w:val="20"/>
        </w:rPr>
        <w:t xml:space="preserve">roposal 1: The new IP address(es) should be explicitly provided to the source donor CU for </w:t>
      </w:r>
      <w:proofErr w:type="spellStart"/>
      <w:r w:rsidRPr="00D101EF">
        <w:rPr>
          <w:rFonts w:ascii="Times New Roman" w:eastAsia="宋体" w:hAnsi="Times New Roman" w:cs="Times New Roman"/>
          <w:b/>
          <w:bCs/>
          <w:kern w:val="0"/>
          <w:sz w:val="20"/>
          <w:szCs w:val="20"/>
        </w:rPr>
        <w:t>IPSec</w:t>
      </w:r>
      <w:proofErr w:type="spellEnd"/>
      <w:r w:rsidRPr="00D101EF">
        <w:rPr>
          <w:rFonts w:ascii="Times New Roman" w:eastAsia="宋体" w:hAnsi="Times New Roman" w:cs="Times New Roman"/>
          <w:b/>
          <w:bCs/>
          <w:kern w:val="0"/>
          <w:sz w:val="20"/>
          <w:szCs w:val="20"/>
        </w:rPr>
        <w:t xml:space="preserve"> tunnel mode.</w:t>
      </w:r>
    </w:p>
    <w:p w14:paraId="70CE0EED" w14:textId="494E8B38" w:rsidR="00C72047" w:rsidRDefault="00DD111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hile for the detail signaling to transport the new IP address</w:t>
      </w:r>
      <w:r w:rsidR="003566F6">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 xml:space="preserve">, </w:t>
      </w:r>
      <w:r w:rsidR="001E557D">
        <w:rPr>
          <w:rFonts w:ascii="Times New Roman" w:eastAsia="宋体" w:hAnsi="Times New Roman" w:cs="Times New Roman"/>
          <w:kern w:val="0"/>
          <w:sz w:val="20"/>
          <w:szCs w:val="20"/>
        </w:rPr>
        <w:t>target donor CU can directly inform the new IP address(es) to the source donor CU via the enhanced X2AP message. Alternatively, source donor CU can obtain the new IP address(es) from the boundary IAB node via the existing F1AP message</w:t>
      </w:r>
      <w:r w:rsidR="00AC5D1E">
        <w:rPr>
          <w:rFonts w:ascii="Times New Roman" w:eastAsia="宋体" w:hAnsi="Times New Roman" w:cs="Times New Roman"/>
          <w:kern w:val="0"/>
          <w:sz w:val="20"/>
          <w:szCs w:val="20"/>
        </w:rPr>
        <w:t xml:space="preserve">, e.g. </w:t>
      </w:r>
      <w:r w:rsidR="00AC5D1E" w:rsidRPr="00DD1110">
        <w:rPr>
          <w:rFonts w:ascii="Times New Roman" w:eastAsia="宋体" w:hAnsi="Times New Roman" w:cs="Times New Roman"/>
          <w:kern w:val="0"/>
          <w:sz w:val="20"/>
          <w:szCs w:val="20"/>
        </w:rPr>
        <w:t>GNB-DU CONFIGURATION UPDATE</w:t>
      </w:r>
      <w:r w:rsidR="00AC5D1E">
        <w:rPr>
          <w:rFonts w:ascii="Times New Roman" w:eastAsia="宋体" w:hAnsi="Times New Roman" w:cs="Times New Roman"/>
          <w:kern w:val="0"/>
          <w:sz w:val="20"/>
          <w:szCs w:val="20"/>
        </w:rPr>
        <w:t xml:space="preserve"> or </w:t>
      </w:r>
      <w:r w:rsidR="00AC5D1E" w:rsidRPr="00AC5D1E">
        <w:rPr>
          <w:rFonts w:ascii="Times New Roman" w:eastAsia="宋体" w:hAnsi="Times New Roman" w:cs="Times New Roman"/>
          <w:kern w:val="0"/>
          <w:sz w:val="20"/>
          <w:szCs w:val="20"/>
        </w:rPr>
        <w:t>IAB UP CONFIGURATION UPDATE RESPONSE</w:t>
      </w:r>
      <w:r w:rsidR="00AC5D1E">
        <w:rPr>
          <w:rFonts w:ascii="Times New Roman" w:eastAsia="宋体" w:hAnsi="Times New Roman" w:cs="Times New Roman"/>
          <w:kern w:val="0"/>
          <w:sz w:val="20"/>
          <w:szCs w:val="20"/>
        </w:rPr>
        <w:t>,</w:t>
      </w:r>
      <w:r w:rsidR="001E557D">
        <w:rPr>
          <w:rFonts w:ascii="Times New Roman" w:eastAsia="宋体" w:hAnsi="Times New Roman" w:cs="Times New Roman"/>
          <w:kern w:val="0"/>
          <w:sz w:val="20"/>
          <w:szCs w:val="20"/>
        </w:rPr>
        <w:t xml:space="preserve"> after the boundary IAB node has been configured the new IP address(es). </w:t>
      </w:r>
      <w:r w:rsidR="00C72047">
        <w:rPr>
          <w:rFonts w:ascii="Times New Roman" w:eastAsia="宋体" w:hAnsi="Times New Roman" w:cs="Times New Roman"/>
          <w:kern w:val="0"/>
          <w:sz w:val="20"/>
          <w:szCs w:val="20"/>
        </w:rPr>
        <w:t xml:space="preserve">For the </w:t>
      </w:r>
      <w:r w:rsidR="00C72047" w:rsidRPr="00DD1110">
        <w:rPr>
          <w:rFonts w:ascii="Times New Roman" w:eastAsia="宋体" w:hAnsi="Times New Roman" w:cs="Times New Roman"/>
          <w:kern w:val="0"/>
          <w:sz w:val="20"/>
          <w:szCs w:val="20"/>
        </w:rPr>
        <w:t>GNB-DU CONFIGURATION UPDATE</w:t>
      </w:r>
      <w:r w:rsidR="00C72047">
        <w:rPr>
          <w:rFonts w:ascii="Times New Roman" w:eastAsia="宋体" w:hAnsi="Times New Roman" w:cs="Times New Roman"/>
          <w:kern w:val="0"/>
          <w:sz w:val="20"/>
          <w:szCs w:val="20"/>
        </w:rPr>
        <w:t xml:space="preserve">, the </w:t>
      </w:r>
      <w:r w:rsidR="00C72047" w:rsidRPr="00C72047">
        <w:rPr>
          <w:rFonts w:ascii="Times New Roman" w:eastAsia="宋体" w:hAnsi="Times New Roman" w:cs="Times New Roman"/>
          <w:i/>
          <w:iCs/>
          <w:kern w:val="0"/>
          <w:sz w:val="20"/>
          <w:szCs w:val="20"/>
        </w:rPr>
        <w:t>Transport Layer Address Info</w:t>
      </w:r>
      <w:r w:rsidR="00C72047">
        <w:rPr>
          <w:rFonts w:ascii="Times New Roman" w:eastAsia="宋体" w:hAnsi="Times New Roman" w:cs="Times New Roman"/>
          <w:kern w:val="0"/>
          <w:sz w:val="20"/>
          <w:szCs w:val="20"/>
        </w:rPr>
        <w:t xml:space="preserve"> IE can be reused but it only applied for the IPsec tunnel mode. And for the </w:t>
      </w:r>
      <w:r w:rsidR="00C72047" w:rsidRPr="00AC5D1E">
        <w:rPr>
          <w:rFonts w:ascii="Times New Roman" w:eastAsia="宋体" w:hAnsi="Times New Roman" w:cs="Times New Roman"/>
          <w:kern w:val="0"/>
          <w:sz w:val="20"/>
          <w:szCs w:val="20"/>
        </w:rPr>
        <w:t>IAB UP CONFIGURATION UPDATE RESPONSE</w:t>
      </w:r>
      <w:r w:rsidR="00C72047">
        <w:rPr>
          <w:rFonts w:ascii="Times New Roman" w:eastAsia="宋体" w:hAnsi="Times New Roman" w:cs="Times New Roman"/>
          <w:kern w:val="0"/>
          <w:sz w:val="20"/>
          <w:szCs w:val="20"/>
        </w:rPr>
        <w:t xml:space="preserve">, it may need source donor CU to trigger the IAB UP configuration update procedure to obtain the updated IP address(es) from the boundary IAB node, and the time to trigger the procedure </w:t>
      </w:r>
      <w:r w:rsidR="009824F0">
        <w:rPr>
          <w:rFonts w:ascii="Times New Roman" w:eastAsia="宋体" w:hAnsi="Times New Roman" w:cs="Times New Roman"/>
          <w:kern w:val="0"/>
          <w:sz w:val="20"/>
          <w:szCs w:val="20"/>
        </w:rPr>
        <w:t xml:space="preserve">can be implemented timely since the </w:t>
      </w:r>
      <w:proofErr w:type="spellStart"/>
      <w:r w:rsidR="009824F0" w:rsidRPr="009824F0">
        <w:rPr>
          <w:rFonts w:ascii="Times New Roman" w:eastAsia="宋体" w:hAnsi="Times New Roman" w:cs="Times New Roman"/>
          <w:i/>
          <w:iCs/>
          <w:kern w:val="0"/>
          <w:sz w:val="20"/>
          <w:szCs w:val="20"/>
        </w:rPr>
        <w:t>RRCreconfiguration</w:t>
      </w:r>
      <w:proofErr w:type="spellEnd"/>
      <w:r w:rsidR="009824F0">
        <w:rPr>
          <w:rFonts w:ascii="Times New Roman" w:eastAsia="宋体" w:hAnsi="Times New Roman" w:cs="Times New Roman"/>
          <w:kern w:val="0"/>
          <w:sz w:val="20"/>
          <w:szCs w:val="20"/>
        </w:rPr>
        <w:t xml:space="preserve"> which includes the new IP address(es) is also controlled by the source donor CU.</w:t>
      </w:r>
    </w:p>
    <w:p w14:paraId="1F2B1073" w14:textId="01DA3D69" w:rsidR="001E557D" w:rsidRDefault="009824F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D90054">
        <w:rPr>
          <w:rFonts w:ascii="Times New Roman" w:eastAsia="宋体" w:hAnsi="Times New Roman" w:cs="Times New Roman"/>
          <w:kern w:val="0"/>
          <w:sz w:val="20"/>
          <w:szCs w:val="20"/>
        </w:rPr>
        <w:t xml:space="preserve">wo approaches can work well for </w:t>
      </w:r>
      <w:r w:rsidR="00D90054" w:rsidRPr="002F139A">
        <w:rPr>
          <w:rFonts w:ascii="Times New Roman" w:eastAsia="宋体" w:hAnsi="Times New Roman" w:cs="Times New Roman"/>
          <w:kern w:val="0"/>
          <w:sz w:val="20"/>
          <w:szCs w:val="20"/>
        </w:rPr>
        <w:t>provision</w:t>
      </w:r>
      <w:r w:rsidR="00D90054">
        <w:rPr>
          <w:rFonts w:ascii="Times New Roman" w:eastAsia="宋体" w:hAnsi="Times New Roman" w:cs="Times New Roman"/>
          <w:kern w:val="0"/>
          <w:sz w:val="20"/>
          <w:szCs w:val="20"/>
        </w:rPr>
        <w:t xml:space="preserve"> the IP address(es) to source donor CU.</w:t>
      </w:r>
      <w:r w:rsidR="00C7204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But t</w:t>
      </w:r>
      <w:r w:rsidR="00C72047">
        <w:rPr>
          <w:rFonts w:ascii="Times New Roman" w:eastAsia="宋体" w:hAnsi="Times New Roman" w:cs="Times New Roman"/>
          <w:kern w:val="0"/>
          <w:sz w:val="20"/>
          <w:szCs w:val="20"/>
        </w:rPr>
        <w:t xml:space="preserve">o minor the standard impacts, </w:t>
      </w:r>
      <w:r w:rsidR="003566F6">
        <w:rPr>
          <w:rFonts w:ascii="Times New Roman" w:eastAsia="宋体" w:hAnsi="Times New Roman" w:cs="Times New Roman"/>
          <w:kern w:val="0"/>
          <w:sz w:val="20"/>
          <w:szCs w:val="20"/>
        </w:rPr>
        <w:t xml:space="preserve">existing F1AP message, e.g. </w:t>
      </w:r>
      <w:r w:rsidR="003566F6" w:rsidRPr="00DD1110">
        <w:rPr>
          <w:rFonts w:ascii="Times New Roman" w:eastAsia="宋体" w:hAnsi="Times New Roman" w:cs="Times New Roman"/>
          <w:kern w:val="0"/>
          <w:sz w:val="20"/>
          <w:szCs w:val="20"/>
        </w:rPr>
        <w:t>GNB-DU CONFIGURATION UPDATE</w:t>
      </w:r>
      <w:r w:rsidR="003566F6">
        <w:rPr>
          <w:rFonts w:ascii="Times New Roman" w:eastAsia="宋体" w:hAnsi="Times New Roman" w:cs="Times New Roman"/>
          <w:kern w:val="0"/>
          <w:sz w:val="20"/>
          <w:szCs w:val="20"/>
        </w:rPr>
        <w:t xml:space="preserve"> or </w:t>
      </w:r>
      <w:r w:rsidR="003566F6" w:rsidRPr="00AC5D1E">
        <w:rPr>
          <w:rFonts w:ascii="Times New Roman" w:eastAsia="宋体" w:hAnsi="Times New Roman" w:cs="Times New Roman"/>
          <w:kern w:val="0"/>
          <w:sz w:val="20"/>
          <w:szCs w:val="20"/>
        </w:rPr>
        <w:t>IAB UP CONFIGURATION UPDATE RESPONSE</w:t>
      </w:r>
      <w:r w:rsidR="003566F6">
        <w:rPr>
          <w:rFonts w:ascii="Times New Roman" w:eastAsia="宋体" w:hAnsi="Times New Roman" w:cs="Times New Roman"/>
          <w:kern w:val="0"/>
          <w:sz w:val="20"/>
          <w:szCs w:val="20"/>
        </w:rPr>
        <w:t xml:space="preserve"> is proposed for transporting the new IP address(es).</w:t>
      </w:r>
    </w:p>
    <w:p w14:paraId="37771FDF" w14:textId="01943DB4" w:rsidR="003566F6" w:rsidRPr="003566F6" w:rsidRDefault="003566F6" w:rsidP="003566F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566F6">
        <w:rPr>
          <w:rFonts w:ascii="Times New Roman" w:eastAsia="宋体" w:hAnsi="Times New Roman" w:cs="Times New Roman" w:hint="eastAsia"/>
          <w:b/>
          <w:bCs/>
          <w:kern w:val="0"/>
          <w:sz w:val="20"/>
          <w:szCs w:val="20"/>
        </w:rPr>
        <w:t>P</w:t>
      </w:r>
      <w:r w:rsidRPr="003566F6">
        <w:rPr>
          <w:rFonts w:ascii="Times New Roman" w:eastAsia="宋体" w:hAnsi="Times New Roman" w:cs="Times New Roman"/>
          <w:b/>
          <w:bCs/>
          <w:kern w:val="0"/>
          <w:sz w:val="20"/>
          <w:szCs w:val="20"/>
        </w:rPr>
        <w:t>roposal 2: Existing F1AP message, e.g. GNB-DU CONFIGURATION UPDATE or IAB UP CONFIGURATION UPDATE RESPONSE is used for transporting the new IP address(es).</w:t>
      </w:r>
    </w:p>
    <w:p w14:paraId="5AF8C4FD" w14:textId="0EDEF170" w:rsidR="006A2B42" w:rsidRDefault="00501BB6" w:rsidP="006A2B4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w:t>
      </w:r>
      <w:r w:rsidRPr="00D705C7">
        <w:rPr>
          <w:rFonts w:ascii="Times New Roman" w:eastAsia="宋体" w:hAnsi="Times New Roman" w:cs="Times New Roman"/>
          <w:kern w:val="0"/>
          <w:sz w:val="20"/>
          <w:szCs w:val="20"/>
        </w:rPr>
        <w:t xml:space="preserve">coupling of IP addresses used </w:t>
      </w:r>
      <w:r>
        <w:rPr>
          <w:rFonts w:ascii="Times New Roman" w:eastAsia="宋体" w:hAnsi="Times New Roman" w:cs="Times New Roman"/>
          <w:kern w:val="0"/>
          <w:sz w:val="20"/>
          <w:szCs w:val="20"/>
        </w:rPr>
        <w:t>between in source donor CU and target donor CU</w:t>
      </w:r>
      <w:r w:rsidR="006A2B42">
        <w:rPr>
          <w:rFonts w:ascii="Times New Roman" w:eastAsia="宋体" w:hAnsi="Times New Roman" w:cs="Times New Roman"/>
          <w:kern w:val="0"/>
          <w:sz w:val="20"/>
          <w:szCs w:val="20"/>
        </w:rPr>
        <w:t xml:space="preserve">, </w:t>
      </w:r>
      <w:r w:rsidR="009859B7">
        <w:rPr>
          <w:rFonts w:ascii="Times New Roman" w:eastAsia="宋体" w:hAnsi="Times New Roman" w:cs="Times New Roman"/>
          <w:kern w:val="0"/>
          <w:sz w:val="20"/>
          <w:szCs w:val="20"/>
        </w:rPr>
        <w:t xml:space="preserve">since </w:t>
      </w:r>
      <w:r w:rsidR="006A2B42">
        <w:rPr>
          <w:rFonts w:ascii="Times New Roman" w:eastAsia="宋体" w:hAnsi="Times New Roman" w:cs="Times New Roman"/>
          <w:kern w:val="0"/>
          <w:sz w:val="20"/>
          <w:szCs w:val="20"/>
        </w:rPr>
        <w:t xml:space="preserve">the duty of the target donor CU in the IP request procedure is just to allocate the number of IP addresses requested by the source donor CU, while for the coupling relation, it </w:t>
      </w:r>
      <w:r w:rsidR="00DA4C52">
        <w:rPr>
          <w:rFonts w:ascii="Times New Roman" w:eastAsia="宋体" w:hAnsi="Times New Roman" w:cs="Times New Roman"/>
          <w:kern w:val="0"/>
          <w:sz w:val="20"/>
          <w:szCs w:val="20"/>
        </w:rPr>
        <w:t xml:space="preserve">may </w:t>
      </w:r>
      <w:r w:rsidR="006A2B42">
        <w:rPr>
          <w:rFonts w:ascii="Times New Roman" w:eastAsia="宋体" w:hAnsi="Times New Roman" w:cs="Times New Roman"/>
          <w:kern w:val="0"/>
          <w:sz w:val="20"/>
          <w:szCs w:val="20"/>
        </w:rPr>
        <w:t>need to be determined by the source CU or the boundary IAB node.</w:t>
      </w:r>
    </w:p>
    <w:p w14:paraId="20685364" w14:textId="14E61C00" w:rsidR="007F26BE" w:rsidRPr="00A24C2E" w:rsidRDefault="00A24C2E"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24C2E">
        <w:rPr>
          <w:rFonts w:ascii="Times New Roman" w:eastAsia="宋体" w:hAnsi="Times New Roman" w:cs="Times New Roman" w:hint="eastAsia"/>
          <w:b/>
          <w:bCs/>
          <w:kern w:val="0"/>
          <w:sz w:val="20"/>
          <w:szCs w:val="20"/>
        </w:rPr>
        <w:t>P</w:t>
      </w:r>
      <w:r w:rsidRPr="00A24C2E">
        <w:rPr>
          <w:rFonts w:ascii="Times New Roman" w:eastAsia="宋体" w:hAnsi="Times New Roman" w:cs="Times New Roman"/>
          <w:b/>
          <w:bCs/>
          <w:kern w:val="0"/>
          <w:sz w:val="20"/>
          <w:szCs w:val="20"/>
        </w:rPr>
        <w:t>roposal 3: Target donor CU doesn’t need to provide the coupling of IP addresses to source target CU</w:t>
      </w:r>
      <w:r>
        <w:rPr>
          <w:rFonts w:ascii="Times New Roman" w:eastAsia="宋体" w:hAnsi="Times New Roman" w:cs="Times New Roman"/>
          <w:b/>
          <w:bCs/>
          <w:kern w:val="0"/>
          <w:sz w:val="20"/>
          <w:szCs w:val="20"/>
        </w:rPr>
        <w:t>, and the coupling relation may be determined by the source donor CU or the boundary IAB node.</w:t>
      </w:r>
    </w:p>
    <w:p w14:paraId="13A19A98" w14:textId="612CCD13" w:rsidR="006E530D" w:rsidRPr="006141DC" w:rsidRDefault="00294674"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6" w:name="_Hlk61340321"/>
      <w:r>
        <w:rPr>
          <w:rFonts w:ascii="Times New Roman" w:eastAsia="宋体" w:hAnsi="Times New Roman" w:cs="Times New Roman"/>
          <w:b/>
          <w:bCs/>
          <w:kern w:val="0"/>
          <w:sz w:val="22"/>
          <w:u w:val="single"/>
        </w:rPr>
        <w:t>Partial migration</w:t>
      </w:r>
    </w:p>
    <w:p w14:paraId="2574CA2F" w14:textId="77777777" w:rsidR="000D3D9F" w:rsidRPr="000D3D9F" w:rsidRDefault="000D3D9F" w:rsidP="004326CA">
      <w:pPr>
        <w:widowControl/>
        <w:overflowPunct w:val="0"/>
        <w:autoSpaceDE w:val="0"/>
        <w:autoSpaceDN w:val="0"/>
        <w:adjustRightInd w:val="0"/>
        <w:spacing w:after="120"/>
        <w:ind w:left="279"/>
        <w:jc w:val="center"/>
        <w:textAlignment w:val="baseline"/>
        <w:rPr>
          <w:rFonts w:ascii="Times New Roman" w:eastAsia="宋体" w:hAnsi="Times New Roman" w:cs="Times New Roman"/>
          <w:kern w:val="0"/>
          <w:sz w:val="20"/>
          <w:szCs w:val="20"/>
        </w:rPr>
      </w:pPr>
      <w:r w:rsidRPr="001B32A7">
        <w:rPr>
          <w:noProof/>
        </w:rPr>
        <w:drawing>
          <wp:inline distT="0" distB="0" distL="0" distR="0" wp14:anchorId="375972C4" wp14:editId="7D949E78">
            <wp:extent cx="2698750" cy="191389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98750" cy="1913890"/>
                    </a:xfrm>
                    <a:prstGeom prst="rect">
                      <a:avLst/>
                    </a:prstGeom>
                    <a:noFill/>
                    <a:ln>
                      <a:noFill/>
                    </a:ln>
                  </pic:spPr>
                </pic:pic>
              </a:graphicData>
            </a:graphic>
          </wp:inline>
        </w:drawing>
      </w:r>
    </w:p>
    <w:p w14:paraId="3D70A4F3" w14:textId="03F9F021" w:rsidR="000D3D9F" w:rsidRPr="004326CA" w:rsidRDefault="000D3D9F" w:rsidP="004326CA">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326CA">
        <w:rPr>
          <w:rFonts w:ascii="Times New Roman" w:eastAsia="宋体" w:hAnsi="Times New Roman" w:cs="Times New Roman" w:hint="eastAsia"/>
          <w:kern w:val="0"/>
          <w:sz w:val="20"/>
          <w:szCs w:val="20"/>
        </w:rPr>
        <w:t>F</w:t>
      </w:r>
      <w:r w:rsidRPr="004326CA">
        <w:rPr>
          <w:rFonts w:ascii="Times New Roman" w:eastAsia="宋体" w:hAnsi="Times New Roman" w:cs="Times New Roman"/>
          <w:kern w:val="0"/>
          <w:sz w:val="20"/>
          <w:szCs w:val="20"/>
        </w:rPr>
        <w:t>igure 1: An example for top-level IAB-MT inter-donor migration</w:t>
      </w:r>
    </w:p>
    <w:p w14:paraId="40E967D9" w14:textId="70AD24FB" w:rsidR="00294674" w:rsidRDefault="0055025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sidRPr="0055025E">
        <w:rPr>
          <w:rFonts w:ascii="Times New Roman" w:eastAsia="宋体" w:hAnsi="Times New Roman" w:cs="Times New Roman"/>
          <w:kern w:val="0"/>
          <w:sz w:val="20"/>
          <w:szCs w:val="20"/>
        </w:rPr>
        <w:t xml:space="preserve">nter-donor migration </w:t>
      </w:r>
      <w:r>
        <w:rPr>
          <w:rFonts w:ascii="Times New Roman" w:eastAsia="宋体" w:hAnsi="Times New Roman" w:cs="Times New Roman"/>
          <w:kern w:val="0"/>
          <w:sz w:val="20"/>
          <w:szCs w:val="20"/>
        </w:rPr>
        <w:t>can</w:t>
      </w:r>
      <w:r w:rsidRPr="0055025E">
        <w:rPr>
          <w:rFonts w:ascii="Times New Roman" w:eastAsia="宋体" w:hAnsi="Times New Roman" w:cs="Times New Roman"/>
          <w:kern w:val="0"/>
          <w:sz w:val="20"/>
          <w:szCs w:val="20"/>
        </w:rPr>
        <w:t xml:space="preserve"> terminate after </w:t>
      </w:r>
      <w:r>
        <w:rPr>
          <w:rFonts w:ascii="Times New Roman" w:eastAsia="宋体" w:hAnsi="Times New Roman" w:cs="Times New Roman"/>
          <w:kern w:val="0"/>
          <w:sz w:val="20"/>
          <w:szCs w:val="20"/>
        </w:rPr>
        <w:t xml:space="preserve">partial migration, then the </w:t>
      </w:r>
      <w:r w:rsidR="007C6371">
        <w:rPr>
          <w:rFonts w:ascii="Times New Roman" w:eastAsia="宋体" w:hAnsi="Times New Roman" w:cs="Times New Roman"/>
          <w:kern w:val="0"/>
          <w:sz w:val="20"/>
          <w:szCs w:val="20"/>
        </w:rPr>
        <w:t xml:space="preserve">boundary </w:t>
      </w:r>
      <w:r>
        <w:rPr>
          <w:rFonts w:ascii="Times New Roman" w:eastAsia="宋体" w:hAnsi="Times New Roman" w:cs="Times New Roman"/>
          <w:kern w:val="0"/>
          <w:sz w:val="20"/>
          <w:szCs w:val="20"/>
        </w:rPr>
        <w:t>IAB-MT connects to the target donor CU while the</w:t>
      </w:r>
      <w:r w:rsidR="007C6371" w:rsidRPr="007C6371">
        <w:rPr>
          <w:rFonts w:ascii="Times New Roman" w:eastAsia="宋体" w:hAnsi="Times New Roman" w:cs="Times New Roman"/>
          <w:kern w:val="0"/>
          <w:sz w:val="20"/>
          <w:szCs w:val="20"/>
        </w:rPr>
        <w:t xml:space="preserve"> </w:t>
      </w:r>
      <w:r w:rsidR="007C6371">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IAB-DU connects to the source donor CU.</w:t>
      </w:r>
      <w:r w:rsidR="007C6371">
        <w:rPr>
          <w:rFonts w:ascii="Times New Roman" w:eastAsia="宋体" w:hAnsi="Times New Roman" w:cs="Times New Roman"/>
          <w:kern w:val="0"/>
          <w:sz w:val="20"/>
          <w:szCs w:val="20"/>
        </w:rPr>
        <w:t xml:space="preserve"> In this stage, resource collision problem will emerge and have been analyzed by another agenda. While for the </w:t>
      </w:r>
      <w:r w:rsidR="007C6371" w:rsidRPr="007C6371">
        <w:rPr>
          <w:rFonts w:ascii="Times New Roman" w:eastAsia="宋体" w:hAnsi="Times New Roman" w:cs="Times New Roman"/>
          <w:kern w:val="0"/>
          <w:sz w:val="20"/>
          <w:szCs w:val="20"/>
        </w:rPr>
        <w:t>routing and bearer mapping configuration for boundary IAB</w:t>
      </w:r>
      <w:r w:rsidR="00F209A5">
        <w:rPr>
          <w:rFonts w:ascii="Times New Roman" w:eastAsia="宋体" w:hAnsi="Times New Roman" w:cs="Times New Roman"/>
          <w:kern w:val="0"/>
          <w:sz w:val="20"/>
          <w:szCs w:val="20"/>
        </w:rPr>
        <w:t xml:space="preserve"> node</w:t>
      </w:r>
      <w:r w:rsidR="007C6371">
        <w:rPr>
          <w:rFonts w:ascii="Times New Roman" w:eastAsia="宋体" w:hAnsi="Times New Roman" w:cs="Times New Roman"/>
          <w:kern w:val="0"/>
          <w:sz w:val="20"/>
          <w:szCs w:val="20"/>
        </w:rPr>
        <w:t>, further discussion is necessary.</w:t>
      </w:r>
    </w:p>
    <w:p w14:paraId="77FE55B5" w14:textId="118F48D2" w:rsidR="00C01559" w:rsidRDefault="00725AB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R16, BAP routing and bearer mapping for BAP entity are configured by the IAB-donor-CU via F1AP signaling both for the UL(MT) and DL(DU), except for the UL default configuration</w:t>
      </w:r>
      <w:r w:rsidR="00C62A74">
        <w:rPr>
          <w:rFonts w:ascii="Times New Roman" w:eastAsia="宋体" w:hAnsi="Times New Roman" w:cs="Times New Roman"/>
          <w:kern w:val="0"/>
          <w:sz w:val="20"/>
          <w:szCs w:val="20"/>
        </w:rPr>
        <w:t xml:space="preserve"> which configured by RRC</w:t>
      </w:r>
      <w:r>
        <w:rPr>
          <w:rFonts w:ascii="Times New Roman" w:eastAsia="宋体" w:hAnsi="Times New Roman" w:cs="Times New Roman"/>
          <w:kern w:val="0"/>
          <w:sz w:val="20"/>
          <w:szCs w:val="20"/>
        </w:rPr>
        <w:t>.</w:t>
      </w:r>
      <w:r w:rsidR="00144EFB">
        <w:rPr>
          <w:rFonts w:ascii="Times New Roman" w:eastAsia="宋体" w:hAnsi="Times New Roman" w:cs="Times New Roman"/>
          <w:kern w:val="0"/>
          <w:sz w:val="20"/>
          <w:szCs w:val="20"/>
        </w:rPr>
        <w:t xml:space="preserve"> And IAB node delivers the UL BAP routing and bearer mapping from DU to</w:t>
      </w:r>
      <w:r w:rsidR="00FB4272">
        <w:rPr>
          <w:rFonts w:ascii="Times New Roman" w:eastAsia="宋体" w:hAnsi="Times New Roman" w:cs="Times New Roman"/>
          <w:kern w:val="0"/>
          <w:sz w:val="20"/>
          <w:szCs w:val="20"/>
        </w:rPr>
        <w:t xml:space="preserve"> the</w:t>
      </w:r>
      <w:r w:rsidR="00144EFB">
        <w:rPr>
          <w:rFonts w:ascii="Times New Roman" w:eastAsia="宋体" w:hAnsi="Times New Roman" w:cs="Times New Roman"/>
          <w:kern w:val="0"/>
          <w:sz w:val="20"/>
          <w:szCs w:val="20"/>
        </w:rPr>
        <w:t xml:space="preserve"> </w:t>
      </w:r>
      <w:r w:rsidR="00FB4272" w:rsidRPr="006E530D">
        <w:rPr>
          <w:rFonts w:ascii="Times New Roman" w:eastAsia="宋体" w:hAnsi="Times New Roman" w:cs="Times New Roman"/>
          <w:kern w:val="0"/>
          <w:sz w:val="20"/>
          <w:szCs w:val="20"/>
        </w:rPr>
        <w:t>collocated</w:t>
      </w:r>
      <w:r w:rsidR="00FB4272">
        <w:rPr>
          <w:rFonts w:ascii="Times New Roman" w:eastAsia="宋体" w:hAnsi="Times New Roman" w:cs="Times New Roman"/>
          <w:kern w:val="0"/>
          <w:sz w:val="20"/>
          <w:szCs w:val="20"/>
        </w:rPr>
        <w:t xml:space="preserve"> </w:t>
      </w:r>
      <w:r w:rsidR="00144EFB">
        <w:rPr>
          <w:rFonts w:ascii="Times New Roman" w:eastAsia="宋体" w:hAnsi="Times New Roman" w:cs="Times New Roman"/>
          <w:kern w:val="0"/>
          <w:sz w:val="20"/>
          <w:szCs w:val="20"/>
        </w:rPr>
        <w:t>MT via the internal interface.</w:t>
      </w:r>
      <w:r w:rsidR="00144EFB">
        <w:rPr>
          <w:rFonts w:ascii="Times New Roman" w:eastAsia="宋体" w:hAnsi="Times New Roman" w:cs="Times New Roman" w:hint="eastAsia"/>
          <w:kern w:val="0"/>
          <w:sz w:val="20"/>
          <w:szCs w:val="20"/>
        </w:rPr>
        <w:t xml:space="preserve"> </w:t>
      </w:r>
    </w:p>
    <w:p w14:paraId="727F2947" w14:textId="77777777" w:rsidR="00F209A5" w:rsidRDefault="00144EF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However, for the </w:t>
      </w:r>
      <w:r w:rsidR="007C6371">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IAB node which MT and DU subject to different CUs, the legacy way for UL BAP routing and bearer mapping configuration is no longer suitable.</w:t>
      </w:r>
      <w:r w:rsidR="00C01559">
        <w:rPr>
          <w:rFonts w:ascii="Times New Roman" w:eastAsia="宋体" w:hAnsi="Times New Roman" w:cs="Times New Roman"/>
          <w:kern w:val="0"/>
          <w:sz w:val="20"/>
          <w:szCs w:val="20"/>
        </w:rPr>
        <w:t xml:space="preserve"> Firstly, </w:t>
      </w:r>
      <w:r w:rsidR="0018496D">
        <w:rPr>
          <w:rFonts w:ascii="Times New Roman" w:eastAsia="宋体" w:hAnsi="Times New Roman" w:cs="Times New Roman"/>
          <w:kern w:val="0"/>
          <w:sz w:val="20"/>
          <w:szCs w:val="20"/>
        </w:rPr>
        <w:t xml:space="preserve">when it comes to the configuration entity, </w:t>
      </w:r>
      <w:r w:rsidR="00245EF5">
        <w:rPr>
          <w:rFonts w:ascii="Times New Roman" w:eastAsia="宋体" w:hAnsi="Times New Roman" w:cs="Times New Roman"/>
          <w:kern w:val="0"/>
          <w:sz w:val="20"/>
          <w:szCs w:val="20"/>
        </w:rPr>
        <w:t xml:space="preserve">target </w:t>
      </w:r>
      <w:r w:rsidR="007C6371">
        <w:rPr>
          <w:rFonts w:ascii="Times New Roman" w:eastAsia="宋体" w:hAnsi="Times New Roman" w:cs="Times New Roman"/>
          <w:kern w:val="0"/>
          <w:sz w:val="20"/>
          <w:szCs w:val="20"/>
        </w:rPr>
        <w:t xml:space="preserve">donor </w:t>
      </w:r>
      <w:r w:rsidR="00245EF5">
        <w:rPr>
          <w:rFonts w:ascii="Times New Roman" w:eastAsia="宋体" w:hAnsi="Times New Roman" w:cs="Times New Roman"/>
          <w:kern w:val="0"/>
          <w:sz w:val="20"/>
          <w:szCs w:val="20"/>
        </w:rPr>
        <w:t>CU is preferred t</w:t>
      </w:r>
      <w:r w:rsidR="00DB72A0">
        <w:rPr>
          <w:rFonts w:ascii="Times New Roman" w:eastAsia="宋体" w:hAnsi="Times New Roman" w:cs="Times New Roman"/>
          <w:kern w:val="0"/>
          <w:sz w:val="20"/>
          <w:szCs w:val="20"/>
        </w:rPr>
        <w:t>han</w:t>
      </w:r>
      <w:r w:rsidR="00245EF5">
        <w:rPr>
          <w:rFonts w:ascii="Times New Roman" w:eastAsia="宋体" w:hAnsi="Times New Roman" w:cs="Times New Roman"/>
          <w:kern w:val="0"/>
          <w:sz w:val="20"/>
          <w:szCs w:val="20"/>
        </w:rPr>
        <w:t xml:space="preserve"> source</w:t>
      </w:r>
      <w:r w:rsidR="007C6371">
        <w:rPr>
          <w:rFonts w:ascii="Times New Roman" w:eastAsia="宋体" w:hAnsi="Times New Roman" w:cs="Times New Roman"/>
          <w:kern w:val="0"/>
          <w:sz w:val="20"/>
          <w:szCs w:val="20"/>
        </w:rPr>
        <w:t xml:space="preserve"> donor</w:t>
      </w:r>
      <w:r w:rsidR="00245EF5">
        <w:rPr>
          <w:rFonts w:ascii="Times New Roman" w:eastAsia="宋体" w:hAnsi="Times New Roman" w:cs="Times New Roman"/>
          <w:kern w:val="0"/>
          <w:sz w:val="20"/>
          <w:szCs w:val="20"/>
        </w:rPr>
        <w:t xml:space="preserve"> CU since MT has migrated </w:t>
      </w:r>
      <w:r w:rsidR="00DB72A0">
        <w:rPr>
          <w:rFonts w:ascii="Times New Roman" w:eastAsia="宋体" w:hAnsi="Times New Roman" w:cs="Times New Roman"/>
          <w:kern w:val="0"/>
          <w:sz w:val="20"/>
          <w:szCs w:val="20"/>
        </w:rPr>
        <w:t xml:space="preserve">from source </w:t>
      </w:r>
      <w:r w:rsidR="007C6371">
        <w:rPr>
          <w:rFonts w:ascii="Times New Roman" w:eastAsia="宋体" w:hAnsi="Times New Roman" w:cs="Times New Roman"/>
          <w:kern w:val="0"/>
          <w:sz w:val="20"/>
          <w:szCs w:val="20"/>
        </w:rPr>
        <w:t xml:space="preserve">donor </w:t>
      </w:r>
      <w:r w:rsidR="00DB72A0">
        <w:rPr>
          <w:rFonts w:ascii="Times New Roman" w:eastAsia="宋体" w:hAnsi="Times New Roman" w:cs="Times New Roman"/>
          <w:kern w:val="0"/>
          <w:sz w:val="20"/>
          <w:szCs w:val="20"/>
        </w:rPr>
        <w:t xml:space="preserve">CU </w:t>
      </w:r>
      <w:r w:rsidR="00245EF5">
        <w:rPr>
          <w:rFonts w:ascii="Times New Roman" w:eastAsia="宋体" w:hAnsi="Times New Roman" w:cs="Times New Roman"/>
          <w:kern w:val="0"/>
          <w:sz w:val="20"/>
          <w:szCs w:val="20"/>
        </w:rPr>
        <w:t xml:space="preserve">to </w:t>
      </w:r>
      <w:r w:rsidR="00DB72A0">
        <w:rPr>
          <w:rFonts w:ascii="Times New Roman" w:eastAsia="宋体" w:hAnsi="Times New Roman" w:cs="Times New Roman"/>
          <w:kern w:val="0"/>
          <w:sz w:val="20"/>
          <w:szCs w:val="20"/>
        </w:rPr>
        <w:t xml:space="preserve">target </w:t>
      </w:r>
      <w:r w:rsidR="007C6371">
        <w:rPr>
          <w:rFonts w:ascii="Times New Roman" w:eastAsia="宋体" w:hAnsi="Times New Roman" w:cs="Times New Roman"/>
          <w:kern w:val="0"/>
          <w:sz w:val="20"/>
          <w:szCs w:val="20"/>
        </w:rPr>
        <w:t xml:space="preserve">donor </w:t>
      </w:r>
      <w:r w:rsidR="00245EF5">
        <w:rPr>
          <w:rFonts w:ascii="Times New Roman" w:eastAsia="宋体" w:hAnsi="Times New Roman" w:cs="Times New Roman"/>
          <w:kern w:val="0"/>
          <w:sz w:val="20"/>
          <w:szCs w:val="20"/>
        </w:rPr>
        <w:t>CU.</w:t>
      </w:r>
      <w:r w:rsidR="00F209A5">
        <w:rPr>
          <w:rFonts w:ascii="Times New Roman" w:eastAsia="宋体" w:hAnsi="Times New Roman" w:cs="Times New Roman"/>
          <w:kern w:val="0"/>
          <w:sz w:val="20"/>
          <w:szCs w:val="20"/>
        </w:rPr>
        <w:t xml:space="preserve"> </w:t>
      </w:r>
    </w:p>
    <w:p w14:paraId="60087815" w14:textId="6B824F2A" w:rsidR="006141DC" w:rsidRDefault="00F209A5"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for the boundary IAB-DU, the DL </w:t>
      </w:r>
      <w:r w:rsidRPr="00F209A5">
        <w:rPr>
          <w:rFonts w:ascii="Times New Roman" w:eastAsia="宋体" w:hAnsi="Times New Roman" w:cs="Times New Roman"/>
          <w:kern w:val="0"/>
          <w:sz w:val="20"/>
          <w:szCs w:val="20"/>
        </w:rPr>
        <w:t xml:space="preserve">routing and bearer mapping configurations are </w:t>
      </w:r>
      <w:r>
        <w:rPr>
          <w:rFonts w:ascii="Times New Roman" w:eastAsia="宋体" w:hAnsi="Times New Roman" w:cs="Times New Roman"/>
          <w:kern w:val="0"/>
          <w:sz w:val="20"/>
          <w:szCs w:val="20"/>
        </w:rPr>
        <w:t xml:space="preserve">still </w:t>
      </w:r>
      <w:r w:rsidRPr="00F209A5">
        <w:rPr>
          <w:rFonts w:ascii="Times New Roman" w:eastAsia="宋体" w:hAnsi="Times New Roman" w:cs="Times New Roman"/>
          <w:kern w:val="0"/>
          <w:sz w:val="20"/>
          <w:szCs w:val="20"/>
        </w:rPr>
        <w:t>determined by</w:t>
      </w:r>
      <w:r>
        <w:rPr>
          <w:rFonts w:ascii="Times New Roman" w:eastAsia="宋体" w:hAnsi="Times New Roman" w:cs="Times New Roman"/>
          <w:kern w:val="0"/>
          <w:sz w:val="20"/>
          <w:szCs w:val="20"/>
        </w:rPr>
        <w:t xml:space="preserve"> source donor CU.</w:t>
      </w:r>
    </w:p>
    <w:p w14:paraId="1197EED5" w14:textId="59BB67C9" w:rsidR="00245EF5" w:rsidRPr="00B2702C" w:rsidRDefault="00245EF5" w:rsidP="00245EF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2702C">
        <w:rPr>
          <w:rFonts w:ascii="Times New Roman" w:eastAsia="宋体" w:hAnsi="Times New Roman" w:cs="Times New Roman"/>
          <w:b/>
          <w:bCs/>
          <w:kern w:val="0"/>
          <w:sz w:val="20"/>
          <w:szCs w:val="20"/>
        </w:rPr>
        <w:t>P</w:t>
      </w:r>
      <w:r w:rsidR="00B2702C">
        <w:rPr>
          <w:rFonts w:ascii="Times New Roman" w:eastAsia="宋体" w:hAnsi="Times New Roman" w:cs="Times New Roman"/>
          <w:b/>
          <w:bCs/>
          <w:kern w:val="0"/>
          <w:sz w:val="20"/>
          <w:szCs w:val="20"/>
        </w:rPr>
        <w:t xml:space="preserve">roposal </w:t>
      </w:r>
      <w:r w:rsidR="005A0E1E">
        <w:rPr>
          <w:rFonts w:ascii="Times New Roman" w:eastAsia="宋体" w:hAnsi="Times New Roman" w:cs="Times New Roman"/>
          <w:b/>
          <w:bCs/>
          <w:kern w:val="0"/>
          <w:sz w:val="20"/>
          <w:szCs w:val="20"/>
        </w:rPr>
        <w:t>4</w:t>
      </w:r>
      <w:r w:rsidRPr="00B2702C">
        <w:rPr>
          <w:rFonts w:ascii="Times New Roman" w:eastAsia="宋体" w:hAnsi="Times New Roman" w:cs="Times New Roman"/>
          <w:b/>
          <w:bCs/>
          <w:kern w:val="0"/>
          <w:sz w:val="20"/>
          <w:szCs w:val="20"/>
        </w:rPr>
        <w:t>: For the IAB node which MT and DU subject to different</w:t>
      </w:r>
      <w:r w:rsidR="00B2702C">
        <w:rPr>
          <w:rFonts w:ascii="Times New Roman" w:eastAsia="宋体" w:hAnsi="Times New Roman" w:cs="Times New Roman"/>
          <w:b/>
          <w:bCs/>
          <w:kern w:val="0"/>
          <w:sz w:val="20"/>
          <w:szCs w:val="20"/>
        </w:rPr>
        <w:t xml:space="preserve"> </w:t>
      </w:r>
      <w:r w:rsidR="007C6371">
        <w:rPr>
          <w:rFonts w:ascii="Times New Roman" w:eastAsia="宋体" w:hAnsi="Times New Roman" w:cs="Times New Roman"/>
          <w:b/>
          <w:bCs/>
          <w:kern w:val="0"/>
          <w:sz w:val="20"/>
          <w:szCs w:val="20"/>
        </w:rPr>
        <w:t xml:space="preserve">donor </w:t>
      </w:r>
      <w:r w:rsidR="00B2702C">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s, the UL routing and bearer mapping configurations are determined by the </w:t>
      </w:r>
      <w:r w:rsidR="00B2702C">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 which MT connected</w:t>
      </w:r>
      <w:r w:rsidR="00F209A5">
        <w:rPr>
          <w:rFonts w:ascii="Times New Roman" w:eastAsia="宋体" w:hAnsi="Times New Roman" w:cs="Times New Roman"/>
          <w:b/>
          <w:bCs/>
          <w:kern w:val="0"/>
          <w:sz w:val="20"/>
          <w:szCs w:val="20"/>
        </w:rPr>
        <w:t>, while the DL routing and bearer mapping configurations are determined by the CU which DU connected.</w:t>
      </w:r>
    </w:p>
    <w:p w14:paraId="6F5C39D8" w14:textId="13DEFFD5" w:rsidR="0054197C" w:rsidRPr="00144EFB" w:rsidRDefault="00DB72A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But the target </w:t>
      </w:r>
      <w:r w:rsidR="00F209A5">
        <w:rPr>
          <w:rFonts w:ascii="Times New Roman" w:eastAsia="宋体" w:hAnsi="Times New Roman" w:cs="Times New Roman"/>
          <w:kern w:val="0"/>
          <w:sz w:val="20"/>
          <w:szCs w:val="20"/>
        </w:rPr>
        <w:t xml:space="preserve">donor </w:t>
      </w:r>
      <w:r>
        <w:rPr>
          <w:rFonts w:ascii="Times New Roman" w:eastAsia="宋体" w:hAnsi="Times New Roman" w:cs="Times New Roman"/>
          <w:kern w:val="0"/>
          <w:sz w:val="20"/>
          <w:szCs w:val="20"/>
        </w:rPr>
        <w:t>CU does</w:t>
      </w:r>
      <w:r w:rsidR="00F209A5">
        <w:rPr>
          <w:rFonts w:ascii="Times New Roman" w:eastAsia="宋体" w:hAnsi="Times New Roman" w:cs="Times New Roman"/>
          <w:kern w:val="0"/>
          <w:sz w:val="20"/>
          <w:szCs w:val="20"/>
        </w:rPr>
        <w:t>n’t</w:t>
      </w:r>
      <w:r>
        <w:rPr>
          <w:rFonts w:ascii="Times New Roman" w:eastAsia="宋体" w:hAnsi="Times New Roman" w:cs="Times New Roman"/>
          <w:kern w:val="0"/>
          <w:sz w:val="20"/>
          <w:szCs w:val="20"/>
        </w:rPr>
        <w:t xml:space="preserve"> have the F1 connection with </w:t>
      </w:r>
      <w:r w:rsidR="00F209A5">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IAB node</w:t>
      </w:r>
      <w:r w:rsidR="00631526">
        <w:rPr>
          <w:rFonts w:ascii="Times New Roman" w:eastAsia="宋体" w:hAnsi="Times New Roman" w:cs="Times New Roman"/>
          <w:kern w:val="0"/>
          <w:sz w:val="20"/>
          <w:szCs w:val="20"/>
        </w:rPr>
        <w:t xml:space="preserve"> and the configuration cannot be transported to IAB node via the F1AP signaling. </w:t>
      </w:r>
      <w:r w:rsidR="00AD58B4">
        <w:rPr>
          <w:rFonts w:ascii="Times New Roman" w:eastAsia="宋体" w:hAnsi="Times New Roman" w:cs="Times New Roman"/>
          <w:kern w:val="0"/>
          <w:sz w:val="20"/>
          <w:szCs w:val="20"/>
        </w:rPr>
        <w:t xml:space="preserve">Thus, how to transport the configuration between </w:t>
      </w:r>
      <w:r w:rsidR="00F209A5">
        <w:rPr>
          <w:rFonts w:ascii="Times New Roman" w:eastAsia="宋体" w:hAnsi="Times New Roman" w:cs="Times New Roman"/>
          <w:kern w:val="0"/>
          <w:sz w:val="20"/>
          <w:szCs w:val="20"/>
        </w:rPr>
        <w:t xml:space="preserve">boundary </w:t>
      </w:r>
      <w:r w:rsidR="00AD58B4">
        <w:rPr>
          <w:rFonts w:ascii="Times New Roman" w:eastAsia="宋体" w:hAnsi="Times New Roman" w:cs="Times New Roman"/>
          <w:kern w:val="0"/>
          <w:sz w:val="20"/>
          <w:szCs w:val="20"/>
        </w:rPr>
        <w:t xml:space="preserve">IAB node and target </w:t>
      </w:r>
      <w:r w:rsidR="00F209A5">
        <w:rPr>
          <w:rFonts w:ascii="Times New Roman" w:eastAsia="宋体" w:hAnsi="Times New Roman" w:cs="Times New Roman"/>
          <w:kern w:val="0"/>
          <w:sz w:val="20"/>
          <w:szCs w:val="20"/>
        </w:rPr>
        <w:t xml:space="preserve">donor </w:t>
      </w:r>
      <w:r w:rsidR="00AD58B4">
        <w:rPr>
          <w:rFonts w:ascii="Times New Roman" w:eastAsia="宋体" w:hAnsi="Times New Roman" w:cs="Times New Roman"/>
          <w:kern w:val="0"/>
          <w:sz w:val="20"/>
          <w:szCs w:val="20"/>
        </w:rPr>
        <w:t xml:space="preserve">CU need to be studied. One straightforward method is to use the RRC message directly between </w:t>
      </w:r>
      <w:r w:rsidR="00F209A5">
        <w:rPr>
          <w:rFonts w:ascii="Times New Roman" w:eastAsia="宋体" w:hAnsi="Times New Roman" w:cs="Times New Roman"/>
          <w:kern w:val="0"/>
          <w:sz w:val="20"/>
          <w:szCs w:val="20"/>
        </w:rPr>
        <w:t xml:space="preserve">target donor </w:t>
      </w:r>
      <w:r w:rsidR="00AD58B4">
        <w:rPr>
          <w:rFonts w:ascii="Times New Roman" w:eastAsia="宋体" w:hAnsi="Times New Roman" w:cs="Times New Roman"/>
          <w:kern w:val="0"/>
          <w:sz w:val="20"/>
          <w:szCs w:val="20"/>
        </w:rPr>
        <w:t xml:space="preserve">CU and </w:t>
      </w:r>
      <w:r w:rsidR="00F209A5">
        <w:rPr>
          <w:rFonts w:ascii="Times New Roman" w:eastAsia="宋体" w:hAnsi="Times New Roman" w:cs="Times New Roman"/>
          <w:kern w:val="0"/>
          <w:sz w:val="20"/>
          <w:szCs w:val="20"/>
        </w:rPr>
        <w:t xml:space="preserve">boundary </w:t>
      </w:r>
      <w:r w:rsidR="00AD58B4">
        <w:rPr>
          <w:rFonts w:ascii="Times New Roman" w:eastAsia="宋体" w:hAnsi="Times New Roman" w:cs="Times New Roman"/>
          <w:kern w:val="0"/>
          <w:sz w:val="20"/>
          <w:szCs w:val="20"/>
        </w:rPr>
        <w:t xml:space="preserve">IAB-MT. Alternatively, the configuration </w:t>
      </w:r>
      <w:r w:rsidR="002436E7">
        <w:rPr>
          <w:rFonts w:ascii="Times New Roman" w:eastAsia="宋体" w:hAnsi="Times New Roman" w:cs="Times New Roman"/>
          <w:kern w:val="0"/>
          <w:sz w:val="20"/>
          <w:szCs w:val="20"/>
        </w:rPr>
        <w:t xml:space="preserve">which </w:t>
      </w:r>
      <w:r w:rsidR="00AD58B4">
        <w:rPr>
          <w:rFonts w:ascii="Times New Roman" w:eastAsia="宋体" w:hAnsi="Times New Roman" w:cs="Times New Roman"/>
          <w:kern w:val="0"/>
          <w:sz w:val="20"/>
          <w:szCs w:val="20"/>
        </w:rPr>
        <w:t xml:space="preserve">generated by the </w:t>
      </w:r>
      <w:r w:rsidR="00F209A5">
        <w:rPr>
          <w:rFonts w:ascii="Times New Roman" w:eastAsia="宋体" w:hAnsi="Times New Roman" w:cs="Times New Roman"/>
          <w:kern w:val="0"/>
          <w:sz w:val="20"/>
          <w:szCs w:val="20"/>
        </w:rPr>
        <w:t xml:space="preserve">target donor </w:t>
      </w:r>
      <w:r w:rsidR="00AD58B4">
        <w:rPr>
          <w:rFonts w:ascii="Times New Roman" w:eastAsia="宋体" w:hAnsi="Times New Roman" w:cs="Times New Roman"/>
          <w:kern w:val="0"/>
          <w:sz w:val="20"/>
          <w:szCs w:val="20"/>
        </w:rPr>
        <w:t>CU can</w:t>
      </w:r>
      <w:r w:rsidR="002436E7">
        <w:rPr>
          <w:rFonts w:ascii="Times New Roman" w:eastAsia="宋体" w:hAnsi="Times New Roman" w:cs="Times New Roman"/>
          <w:kern w:val="0"/>
          <w:sz w:val="20"/>
          <w:szCs w:val="20"/>
        </w:rPr>
        <w:t xml:space="preserve"> be</w:t>
      </w:r>
      <w:r w:rsidR="00AD58B4">
        <w:rPr>
          <w:rFonts w:ascii="Times New Roman" w:eastAsia="宋体" w:hAnsi="Times New Roman" w:cs="Times New Roman"/>
          <w:kern w:val="0"/>
          <w:sz w:val="20"/>
          <w:szCs w:val="20"/>
        </w:rPr>
        <w:t xml:space="preserve"> firstly </w:t>
      </w:r>
      <w:r w:rsidR="002436E7">
        <w:rPr>
          <w:rFonts w:ascii="Times New Roman" w:eastAsia="宋体" w:hAnsi="Times New Roman" w:cs="Times New Roman"/>
          <w:kern w:val="0"/>
          <w:sz w:val="20"/>
          <w:szCs w:val="20"/>
        </w:rPr>
        <w:t xml:space="preserve">transported to </w:t>
      </w:r>
      <w:r w:rsidR="00F209A5">
        <w:rPr>
          <w:rFonts w:ascii="Times New Roman" w:eastAsia="宋体" w:hAnsi="Times New Roman" w:cs="Times New Roman"/>
          <w:kern w:val="0"/>
          <w:sz w:val="20"/>
          <w:szCs w:val="20"/>
        </w:rPr>
        <w:t xml:space="preserve">source donor </w:t>
      </w:r>
      <w:r w:rsidR="002436E7">
        <w:rPr>
          <w:rFonts w:ascii="Times New Roman" w:eastAsia="宋体" w:hAnsi="Times New Roman" w:cs="Times New Roman"/>
          <w:kern w:val="0"/>
          <w:sz w:val="20"/>
          <w:szCs w:val="20"/>
        </w:rPr>
        <w:t>CU and then forward</w:t>
      </w:r>
      <w:r w:rsidR="002436E7" w:rsidRPr="002436E7">
        <w:rPr>
          <w:rFonts w:ascii="Times New Roman" w:eastAsia="宋体" w:hAnsi="Times New Roman" w:cs="Times New Roman"/>
          <w:kern w:val="0"/>
          <w:sz w:val="20"/>
          <w:szCs w:val="20"/>
        </w:rPr>
        <w:t xml:space="preserve"> to the </w:t>
      </w:r>
      <w:r w:rsidR="00F209A5">
        <w:rPr>
          <w:rFonts w:ascii="Times New Roman" w:eastAsia="宋体" w:hAnsi="Times New Roman" w:cs="Times New Roman"/>
          <w:kern w:val="0"/>
          <w:sz w:val="20"/>
          <w:szCs w:val="20"/>
        </w:rPr>
        <w:t xml:space="preserve">boundary </w:t>
      </w:r>
      <w:r w:rsidR="002436E7" w:rsidRPr="002436E7">
        <w:rPr>
          <w:rFonts w:ascii="Times New Roman" w:eastAsia="宋体" w:hAnsi="Times New Roman" w:cs="Times New Roman"/>
          <w:kern w:val="0"/>
          <w:sz w:val="20"/>
          <w:szCs w:val="20"/>
        </w:rPr>
        <w:t>IAB-node via F1AP</w:t>
      </w:r>
      <w:r w:rsidR="002436E7">
        <w:rPr>
          <w:rFonts w:ascii="Times New Roman" w:eastAsia="宋体" w:hAnsi="Times New Roman" w:cs="Times New Roman"/>
          <w:kern w:val="0"/>
          <w:sz w:val="20"/>
          <w:szCs w:val="20"/>
        </w:rPr>
        <w:t>.</w:t>
      </w:r>
    </w:p>
    <w:p w14:paraId="2EEFEDD1" w14:textId="024A464A" w:rsidR="00E713D6" w:rsidRPr="00C66D02" w:rsidRDefault="00E713D6" w:rsidP="00E713D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P</w:t>
      </w:r>
      <w:r w:rsidR="00C66D02">
        <w:rPr>
          <w:rFonts w:ascii="Times New Roman" w:eastAsia="宋体" w:hAnsi="Times New Roman" w:cs="Times New Roman"/>
          <w:b/>
          <w:bCs/>
          <w:kern w:val="0"/>
          <w:sz w:val="20"/>
          <w:szCs w:val="20"/>
        </w:rPr>
        <w:t xml:space="preserve">roposal </w:t>
      </w:r>
      <w:r w:rsidR="005A0E1E">
        <w:rPr>
          <w:rFonts w:ascii="Times New Roman" w:eastAsia="宋体" w:hAnsi="Times New Roman" w:cs="Times New Roman"/>
          <w:b/>
          <w:bCs/>
          <w:kern w:val="0"/>
          <w:sz w:val="20"/>
          <w:szCs w:val="20"/>
        </w:rPr>
        <w:t>5</w:t>
      </w:r>
      <w:r w:rsidRPr="00C66D02">
        <w:rPr>
          <w:rFonts w:ascii="Times New Roman" w:eastAsia="宋体" w:hAnsi="Times New Roman" w:cs="Times New Roman"/>
          <w:b/>
          <w:bCs/>
          <w:kern w:val="0"/>
          <w:sz w:val="20"/>
          <w:szCs w:val="20"/>
        </w:rPr>
        <w:t xml:space="preserve">: The generated </w:t>
      </w:r>
      <w:bookmarkStart w:id="7" w:name="OLE_LINK19"/>
      <w:bookmarkStart w:id="8" w:name="OLE_LINK20"/>
      <w:r w:rsidRPr="00C66D02">
        <w:rPr>
          <w:rFonts w:ascii="Times New Roman" w:eastAsia="宋体" w:hAnsi="Times New Roman" w:cs="Times New Roman"/>
          <w:b/>
          <w:bCs/>
          <w:kern w:val="0"/>
          <w:sz w:val="20"/>
          <w:szCs w:val="20"/>
        </w:rPr>
        <w:t>UL routing and bearer mapping configurations</w:t>
      </w:r>
      <w:bookmarkEnd w:id="7"/>
      <w:bookmarkEnd w:id="8"/>
      <w:r w:rsidRPr="00C66D02">
        <w:rPr>
          <w:rFonts w:ascii="Times New Roman" w:eastAsia="宋体" w:hAnsi="Times New Roman" w:cs="Times New Roman"/>
          <w:b/>
          <w:bCs/>
          <w:kern w:val="0"/>
          <w:sz w:val="20"/>
          <w:szCs w:val="20"/>
        </w:rPr>
        <w:t xml:space="preserve"> can be delivered to the </w:t>
      </w:r>
      <w:r w:rsidR="00F209A5">
        <w:rPr>
          <w:rFonts w:ascii="Times New Roman" w:eastAsia="宋体" w:hAnsi="Times New Roman" w:cs="Times New Roman"/>
          <w:b/>
          <w:bCs/>
          <w:kern w:val="0"/>
          <w:sz w:val="20"/>
          <w:szCs w:val="20"/>
        </w:rPr>
        <w:t xml:space="preserve">boundary </w:t>
      </w:r>
      <w:r w:rsidRPr="00C66D02">
        <w:rPr>
          <w:rFonts w:ascii="Times New Roman" w:eastAsia="宋体" w:hAnsi="Times New Roman" w:cs="Times New Roman"/>
          <w:b/>
          <w:bCs/>
          <w:kern w:val="0"/>
          <w:sz w:val="20"/>
          <w:szCs w:val="20"/>
        </w:rPr>
        <w:t>IAB-MT via the following two candidate options.</w:t>
      </w:r>
    </w:p>
    <w:p w14:paraId="4583406B" w14:textId="261C2572" w:rsidR="00E713D6" w:rsidRPr="00C66D02" w:rsidRDefault="00E713D6" w:rsidP="00C66D02">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Opt1: the target</w:t>
      </w:r>
      <w:r w:rsidR="00F209A5">
        <w:rPr>
          <w:rFonts w:ascii="Times New Roman" w:eastAsia="宋体" w:hAnsi="Times New Roman" w:cs="Times New Roman"/>
          <w:b/>
          <w:bCs/>
          <w:kern w:val="0"/>
          <w:sz w:val="20"/>
          <w:szCs w:val="20"/>
        </w:rPr>
        <w:t xml:space="preserve"> donor</w:t>
      </w:r>
      <w:r w:rsidR="00C66D02">
        <w:rPr>
          <w:rFonts w:ascii="Times New Roman" w:eastAsia="宋体" w:hAnsi="Times New Roman" w:cs="Times New Roman"/>
          <w:b/>
          <w:bCs/>
          <w:kern w:val="0"/>
          <w:sz w:val="20"/>
          <w:szCs w:val="20"/>
        </w:rPr>
        <w:t xml:space="preserve"> CU</w:t>
      </w:r>
      <w:r w:rsidRPr="00C66D02">
        <w:rPr>
          <w:rFonts w:ascii="Times New Roman" w:eastAsia="宋体" w:hAnsi="Times New Roman" w:cs="Times New Roman"/>
          <w:b/>
          <w:bCs/>
          <w:kern w:val="0"/>
          <w:sz w:val="20"/>
          <w:szCs w:val="20"/>
        </w:rPr>
        <w:t xml:space="preserve"> configur</w:t>
      </w:r>
      <w:r w:rsidR="00AD58B4" w:rsidRPr="00C66D02">
        <w:rPr>
          <w:rFonts w:ascii="Times New Roman" w:eastAsia="宋体" w:hAnsi="Times New Roman" w:cs="Times New Roman"/>
          <w:b/>
          <w:bCs/>
          <w:kern w:val="0"/>
          <w:sz w:val="20"/>
          <w:szCs w:val="20"/>
        </w:rPr>
        <w:t xml:space="preserve">e </w:t>
      </w:r>
      <w:r w:rsidRPr="00C66D02">
        <w:rPr>
          <w:rFonts w:ascii="Times New Roman" w:eastAsia="宋体" w:hAnsi="Times New Roman" w:cs="Times New Roman"/>
          <w:b/>
          <w:bCs/>
          <w:kern w:val="0"/>
          <w:sz w:val="20"/>
          <w:szCs w:val="20"/>
        </w:rPr>
        <w:t>the configuration to the</w:t>
      </w:r>
      <w:r w:rsidR="00F209A5">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IAB-MT directly via RRC</w:t>
      </w:r>
    </w:p>
    <w:p w14:paraId="145F79B7" w14:textId="6C0D6B13" w:rsidR="00E713D6" w:rsidRDefault="00E713D6" w:rsidP="00C66D02">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 xml:space="preserve">Opt2: the configurations are sent to source </w:t>
      </w:r>
      <w:r w:rsidR="00F209A5">
        <w:rPr>
          <w:rFonts w:ascii="Times New Roman" w:eastAsia="宋体" w:hAnsi="Times New Roman" w:cs="Times New Roman"/>
          <w:b/>
          <w:bCs/>
          <w:kern w:val="0"/>
          <w:sz w:val="20"/>
          <w:szCs w:val="20"/>
        </w:rPr>
        <w:t xml:space="preserve">donor </w:t>
      </w:r>
      <w:r w:rsidR="00C66D02">
        <w:rPr>
          <w:rFonts w:ascii="Times New Roman" w:eastAsia="宋体" w:hAnsi="Times New Roman" w:cs="Times New Roman"/>
          <w:b/>
          <w:bCs/>
          <w:kern w:val="0"/>
          <w:sz w:val="20"/>
          <w:szCs w:val="20"/>
        </w:rPr>
        <w:t>CU</w:t>
      </w:r>
      <w:r w:rsidRPr="00C66D02">
        <w:rPr>
          <w:rFonts w:ascii="Times New Roman" w:eastAsia="宋体" w:hAnsi="Times New Roman" w:cs="Times New Roman"/>
          <w:b/>
          <w:bCs/>
          <w:kern w:val="0"/>
          <w:sz w:val="20"/>
          <w:szCs w:val="20"/>
        </w:rPr>
        <w:t xml:space="preserve"> and then </w:t>
      </w:r>
      <w:r w:rsidR="00C66D02">
        <w:rPr>
          <w:rFonts w:ascii="Times New Roman" w:eastAsia="宋体" w:hAnsi="Times New Roman" w:cs="Times New Roman"/>
          <w:b/>
          <w:bCs/>
          <w:kern w:val="0"/>
          <w:sz w:val="20"/>
          <w:szCs w:val="20"/>
        </w:rPr>
        <w:t>forward</w:t>
      </w:r>
      <w:r w:rsidRPr="00C66D02">
        <w:rPr>
          <w:rFonts w:ascii="Times New Roman" w:eastAsia="宋体" w:hAnsi="Times New Roman" w:cs="Times New Roman"/>
          <w:b/>
          <w:bCs/>
          <w:kern w:val="0"/>
          <w:sz w:val="20"/>
          <w:szCs w:val="20"/>
        </w:rPr>
        <w:t xml:space="preserve"> to the</w:t>
      </w:r>
      <w:r w:rsidR="00F209A5">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IAB-node via F1AP</w:t>
      </w:r>
    </w:p>
    <w:p w14:paraId="7BB84DE3" w14:textId="043BD72F" w:rsidR="00F209A5" w:rsidRPr="005A0E1E" w:rsidRDefault="00F209A5" w:rsidP="00F209A5">
      <w:pPr>
        <w:widowControl/>
        <w:overflowPunct w:val="0"/>
        <w:autoSpaceDE w:val="0"/>
        <w:autoSpaceDN w:val="0"/>
        <w:adjustRightInd w:val="0"/>
        <w:spacing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Full</w:t>
      </w:r>
      <w:r w:rsidRPr="00F209A5">
        <w:rPr>
          <w:rFonts w:ascii="Times New Roman" w:eastAsia="宋体" w:hAnsi="Times New Roman" w:cs="Times New Roman"/>
          <w:b/>
          <w:bCs/>
          <w:kern w:val="0"/>
          <w:sz w:val="22"/>
          <w:u w:val="single"/>
        </w:rPr>
        <w:t xml:space="preserve"> migration</w:t>
      </w:r>
    </w:p>
    <w:p w14:paraId="59D1B747" w14:textId="3162B2A8" w:rsidR="00F209A5" w:rsidRDefault="008A64F1" w:rsidP="00F209A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last several meetings, full migration had been discussed and </w:t>
      </w:r>
      <w:r w:rsidR="00683FE8">
        <w:rPr>
          <w:rFonts w:ascii="Times New Roman" w:eastAsia="宋体" w:hAnsi="Times New Roman" w:cs="Times New Roman"/>
          <w:kern w:val="0"/>
          <w:sz w:val="20"/>
          <w:szCs w:val="20"/>
        </w:rPr>
        <w:t>still no consensus had been achieved</w:t>
      </w:r>
      <w:r>
        <w:rPr>
          <w:rFonts w:ascii="Times New Roman" w:eastAsia="宋体" w:hAnsi="Times New Roman" w:cs="Times New Roman"/>
          <w:kern w:val="0"/>
          <w:sz w:val="20"/>
          <w:szCs w:val="20"/>
        </w:rPr>
        <w:t xml:space="preserve"> on whether to support the full migration. </w:t>
      </w:r>
      <w:r w:rsidR="00683FE8">
        <w:rPr>
          <w:rFonts w:ascii="Times New Roman" w:eastAsia="宋体" w:hAnsi="Times New Roman" w:cs="Times New Roman"/>
          <w:kern w:val="0"/>
          <w:sz w:val="20"/>
          <w:szCs w:val="20"/>
        </w:rPr>
        <w:t>In addition,</w:t>
      </w:r>
      <w:r w:rsidR="001750A9">
        <w:rPr>
          <w:rFonts w:ascii="Times New Roman" w:eastAsia="宋体" w:hAnsi="Times New Roman" w:cs="Times New Roman"/>
          <w:kern w:val="0"/>
          <w:sz w:val="20"/>
          <w:szCs w:val="20"/>
        </w:rPr>
        <w:t xml:space="preserve"> there still some technical issues need to be </w:t>
      </w:r>
      <w:r w:rsidR="00683FE8">
        <w:rPr>
          <w:rFonts w:ascii="Times New Roman" w:eastAsia="宋体" w:hAnsi="Times New Roman" w:cs="Times New Roman"/>
          <w:kern w:val="0"/>
          <w:sz w:val="20"/>
          <w:szCs w:val="20"/>
        </w:rPr>
        <w:t xml:space="preserve">resolved by other working groups and an LS [3] was sent to </w:t>
      </w:r>
      <w:r w:rsidR="00683FE8" w:rsidRPr="00683FE8">
        <w:rPr>
          <w:rFonts w:ascii="Times New Roman" w:eastAsia="宋体" w:hAnsi="Times New Roman" w:cs="Times New Roman"/>
          <w:kern w:val="0"/>
          <w:sz w:val="20"/>
          <w:szCs w:val="20"/>
        </w:rPr>
        <w:t>RAN1, RAN2</w:t>
      </w:r>
      <w:r w:rsidR="00683FE8">
        <w:rPr>
          <w:rFonts w:ascii="Times New Roman" w:eastAsia="宋体" w:hAnsi="Times New Roman" w:cs="Times New Roman"/>
          <w:kern w:val="0"/>
          <w:sz w:val="20"/>
          <w:szCs w:val="20"/>
        </w:rPr>
        <w:t xml:space="preserve"> and</w:t>
      </w:r>
      <w:r w:rsidR="00683FE8" w:rsidRPr="00683FE8">
        <w:rPr>
          <w:rFonts w:ascii="Times New Roman" w:eastAsia="宋体" w:hAnsi="Times New Roman" w:cs="Times New Roman"/>
          <w:kern w:val="0"/>
          <w:sz w:val="20"/>
          <w:szCs w:val="20"/>
        </w:rPr>
        <w:t xml:space="preserve"> RAN4</w:t>
      </w:r>
      <w:r w:rsidR="00683FE8">
        <w:rPr>
          <w:rFonts w:ascii="Times New Roman" w:eastAsia="宋体" w:hAnsi="Times New Roman" w:cs="Times New Roman"/>
          <w:kern w:val="0"/>
          <w:sz w:val="20"/>
          <w:szCs w:val="20"/>
        </w:rPr>
        <w:t>. Therefore, w</w:t>
      </w:r>
      <w:r w:rsidR="00683FE8" w:rsidRPr="00683FE8">
        <w:rPr>
          <w:rFonts w:ascii="Times New Roman" w:eastAsia="宋体" w:hAnsi="Times New Roman" w:cs="Times New Roman"/>
          <w:kern w:val="0"/>
          <w:sz w:val="20"/>
          <w:szCs w:val="20"/>
        </w:rPr>
        <w:t>hether to support the full migration need</w:t>
      </w:r>
      <w:r w:rsidR="00683FE8">
        <w:rPr>
          <w:rFonts w:ascii="Times New Roman" w:eastAsia="宋体" w:hAnsi="Times New Roman" w:cs="Times New Roman"/>
          <w:kern w:val="0"/>
          <w:sz w:val="20"/>
          <w:szCs w:val="20"/>
        </w:rPr>
        <w:t xml:space="preserve"> to </w:t>
      </w:r>
      <w:r w:rsidR="00683FE8" w:rsidRPr="00683FE8">
        <w:rPr>
          <w:rFonts w:ascii="Times New Roman" w:eastAsia="宋体" w:hAnsi="Times New Roman" w:cs="Times New Roman"/>
          <w:kern w:val="0"/>
          <w:sz w:val="20"/>
          <w:szCs w:val="20"/>
        </w:rPr>
        <w:t>wai</w:t>
      </w:r>
      <w:r w:rsidR="00683FE8">
        <w:rPr>
          <w:rFonts w:ascii="Times New Roman" w:eastAsia="宋体" w:hAnsi="Times New Roman" w:cs="Times New Roman"/>
          <w:kern w:val="0"/>
          <w:sz w:val="20"/>
          <w:szCs w:val="20"/>
        </w:rPr>
        <w:t>t</w:t>
      </w:r>
      <w:r w:rsidR="00683FE8" w:rsidRPr="00683FE8">
        <w:rPr>
          <w:rFonts w:ascii="Times New Roman" w:eastAsia="宋体" w:hAnsi="Times New Roman" w:cs="Times New Roman"/>
          <w:kern w:val="0"/>
          <w:sz w:val="20"/>
          <w:szCs w:val="20"/>
        </w:rPr>
        <w:t xml:space="preserve"> for the inputs from other working groups</w:t>
      </w:r>
      <w:r w:rsidR="00683FE8">
        <w:rPr>
          <w:rFonts w:ascii="Times New Roman" w:eastAsia="宋体" w:hAnsi="Times New Roman" w:cs="Times New Roman"/>
          <w:kern w:val="0"/>
          <w:sz w:val="20"/>
          <w:szCs w:val="20"/>
        </w:rPr>
        <w:t>.</w:t>
      </w:r>
    </w:p>
    <w:p w14:paraId="333C9BD8" w14:textId="52CE6E08" w:rsidR="00F209A5" w:rsidRPr="00047C38" w:rsidRDefault="00047C38" w:rsidP="00F209A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9" w:name="OLE_LINK25"/>
      <w:bookmarkStart w:id="10" w:name="OLE_LINK26"/>
      <w:r w:rsidRPr="00047C38">
        <w:rPr>
          <w:rFonts w:ascii="Times New Roman" w:eastAsia="宋体" w:hAnsi="Times New Roman" w:cs="Times New Roman" w:hint="eastAsia"/>
          <w:b/>
          <w:bCs/>
          <w:kern w:val="0"/>
          <w:sz w:val="20"/>
          <w:szCs w:val="20"/>
        </w:rPr>
        <w:t>P</w:t>
      </w:r>
      <w:r w:rsidRPr="00047C38">
        <w:rPr>
          <w:rFonts w:ascii="Times New Roman" w:eastAsia="宋体" w:hAnsi="Times New Roman" w:cs="Times New Roman"/>
          <w:b/>
          <w:bCs/>
          <w:kern w:val="0"/>
          <w:sz w:val="20"/>
          <w:szCs w:val="20"/>
        </w:rPr>
        <w:t xml:space="preserve">roposal 6: Whether to support the full migration need </w:t>
      </w:r>
      <w:r w:rsidR="00683FE8">
        <w:rPr>
          <w:rFonts w:ascii="Times New Roman" w:eastAsia="宋体" w:hAnsi="Times New Roman" w:cs="Times New Roman"/>
          <w:b/>
          <w:bCs/>
          <w:kern w:val="0"/>
          <w:sz w:val="20"/>
          <w:szCs w:val="20"/>
        </w:rPr>
        <w:t>to wait</w:t>
      </w:r>
      <w:r w:rsidRPr="00047C38">
        <w:rPr>
          <w:rFonts w:ascii="Times New Roman" w:eastAsia="宋体" w:hAnsi="Times New Roman" w:cs="Times New Roman"/>
          <w:b/>
          <w:bCs/>
          <w:kern w:val="0"/>
          <w:sz w:val="20"/>
          <w:szCs w:val="20"/>
        </w:rPr>
        <w:t xml:space="preserve"> for the </w:t>
      </w:r>
      <w:r>
        <w:rPr>
          <w:rFonts w:ascii="Times New Roman" w:eastAsia="宋体" w:hAnsi="Times New Roman" w:cs="Times New Roman"/>
          <w:b/>
          <w:bCs/>
          <w:kern w:val="0"/>
          <w:sz w:val="20"/>
          <w:szCs w:val="20"/>
        </w:rPr>
        <w:t>inputs</w:t>
      </w:r>
      <w:r w:rsidRPr="00047C38">
        <w:rPr>
          <w:rFonts w:ascii="Times New Roman" w:eastAsia="宋体" w:hAnsi="Times New Roman" w:cs="Times New Roman"/>
          <w:b/>
          <w:bCs/>
          <w:kern w:val="0"/>
          <w:sz w:val="20"/>
          <w:szCs w:val="20"/>
        </w:rPr>
        <w:t xml:space="preserve"> from other working groups.</w:t>
      </w:r>
    </w:p>
    <w:bookmarkEnd w:id="6"/>
    <w:bookmarkEnd w:id="9"/>
    <w:bookmarkEnd w:id="10"/>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10B50211"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E6128E">
        <w:rPr>
          <w:rFonts w:ascii="Times New Roman" w:eastAsia="宋体" w:hAnsi="Times New Roman" w:cs="Times New Roman"/>
          <w:kern w:val="0"/>
          <w:sz w:val="20"/>
          <w:szCs w:val="20"/>
        </w:rPr>
        <w:t>IAB inter-donor migration</w:t>
      </w:r>
      <w:r w:rsidR="00F862F2">
        <w:rPr>
          <w:rFonts w:ascii="Times New Roman" w:eastAsia="宋体" w:hAnsi="Times New Roman" w:cs="Times New Roman"/>
          <w:kern w:val="0"/>
          <w:sz w:val="20"/>
          <w:szCs w:val="20"/>
        </w:rPr>
        <w:t>. And following observations and proposals are concluded.</w:t>
      </w:r>
    </w:p>
    <w:p w14:paraId="16BB8B91" w14:textId="77777777" w:rsidR="005A0E1E" w:rsidRPr="001E557D" w:rsidRDefault="005A0E1E" w:rsidP="005A0E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101EF">
        <w:rPr>
          <w:rFonts w:ascii="Times New Roman" w:eastAsia="宋体" w:hAnsi="Times New Roman" w:cs="Times New Roman" w:hint="eastAsia"/>
          <w:b/>
          <w:bCs/>
          <w:kern w:val="0"/>
          <w:sz w:val="20"/>
          <w:szCs w:val="20"/>
        </w:rPr>
        <w:t>P</w:t>
      </w:r>
      <w:r w:rsidRPr="00D101EF">
        <w:rPr>
          <w:rFonts w:ascii="Times New Roman" w:eastAsia="宋体" w:hAnsi="Times New Roman" w:cs="Times New Roman"/>
          <w:b/>
          <w:bCs/>
          <w:kern w:val="0"/>
          <w:sz w:val="20"/>
          <w:szCs w:val="20"/>
        </w:rPr>
        <w:t xml:space="preserve">roposal 1: The new IP address(es) should be explicitly provided to the source donor CU for </w:t>
      </w:r>
      <w:proofErr w:type="spellStart"/>
      <w:r w:rsidRPr="00D101EF">
        <w:rPr>
          <w:rFonts w:ascii="Times New Roman" w:eastAsia="宋体" w:hAnsi="Times New Roman" w:cs="Times New Roman"/>
          <w:b/>
          <w:bCs/>
          <w:kern w:val="0"/>
          <w:sz w:val="20"/>
          <w:szCs w:val="20"/>
        </w:rPr>
        <w:t>IPSec</w:t>
      </w:r>
      <w:proofErr w:type="spellEnd"/>
      <w:r w:rsidRPr="00D101EF">
        <w:rPr>
          <w:rFonts w:ascii="Times New Roman" w:eastAsia="宋体" w:hAnsi="Times New Roman" w:cs="Times New Roman"/>
          <w:b/>
          <w:bCs/>
          <w:kern w:val="0"/>
          <w:sz w:val="20"/>
          <w:szCs w:val="20"/>
        </w:rPr>
        <w:t xml:space="preserve"> tunnel mode.</w:t>
      </w:r>
    </w:p>
    <w:p w14:paraId="33E5EEA7" w14:textId="77777777" w:rsidR="005A0E1E" w:rsidRPr="003566F6" w:rsidRDefault="005A0E1E" w:rsidP="005A0E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566F6">
        <w:rPr>
          <w:rFonts w:ascii="Times New Roman" w:eastAsia="宋体" w:hAnsi="Times New Roman" w:cs="Times New Roman" w:hint="eastAsia"/>
          <w:b/>
          <w:bCs/>
          <w:kern w:val="0"/>
          <w:sz w:val="20"/>
          <w:szCs w:val="20"/>
        </w:rPr>
        <w:t>P</w:t>
      </w:r>
      <w:r w:rsidRPr="003566F6">
        <w:rPr>
          <w:rFonts w:ascii="Times New Roman" w:eastAsia="宋体" w:hAnsi="Times New Roman" w:cs="Times New Roman"/>
          <w:b/>
          <w:bCs/>
          <w:kern w:val="0"/>
          <w:sz w:val="20"/>
          <w:szCs w:val="20"/>
        </w:rPr>
        <w:t>roposal 2: Existing F1AP message, e.g. GNB-DU CONFIGURATION UPDATE or IAB UP CONFIGURATION UPDATE RESPONSE is used for transporting the new IP address(es).</w:t>
      </w:r>
    </w:p>
    <w:p w14:paraId="17014042" w14:textId="77777777" w:rsidR="005A0E1E" w:rsidRPr="00A24C2E" w:rsidRDefault="005A0E1E" w:rsidP="005A0E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24C2E">
        <w:rPr>
          <w:rFonts w:ascii="Times New Roman" w:eastAsia="宋体" w:hAnsi="Times New Roman" w:cs="Times New Roman" w:hint="eastAsia"/>
          <w:b/>
          <w:bCs/>
          <w:kern w:val="0"/>
          <w:sz w:val="20"/>
          <w:szCs w:val="20"/>
        </w:rPr>
        <w:t>P</w:t>
      </w:r>
      <w:r w:rsidRPr="00A24C2E">
        <w:rPr>
          <w:rFonts w:ascii="Times New Roman" w:eastAsia="宋体" w:hAnsi="Times New Roman" w:cs="Times New Roman"/>
          <w:b/>
          <w:bCs/>
          <w:kern w:val="0"/>
          <w:sz w:val="20"/>
          <w:szCs w:val="20"/>
        </w:rPr>
        <w:t>roposal 3: Target donor CU doesn’t need to provide the coupling of IP addresses to source target CU</w:t>
      </w:r>
      <w:r>
        <w:rPr>
          <w:rFonts w:ascii="Times New Roman" w:eastAsia="宋体" w:hAnsi="Times New Roman" w:cs="Times New Roman"/>
          <w:b/>
          <w:bCs/>
          <w:kern w:val="0"/>
          <w:sz w:val="20"/>
          <w:szCs w:val="20"/>
        </w:rPr>
        <w:t>, and the coupling relation may be determined by the source donor CU or the boundary IAB node.</w:t>
      </w:r>
    </w:p>
    <w:p w14:paraId="260AD14F" w14:textId="3FB52D12" w:rsidR="005A0E1E" w:rsidRPr="00B2702C" w:rsidRDefault="005A0E1E" w:rsidP="005A0E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2702C">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roposal 4</w:t>
      </w:r>
      <w:r w:rsidRPr="00B2702C">
        <w:rPr>
          <w:rFonts w:ascii="Times New Roman" w:eastAsia="宋体" w:hAnsi="Times New Roman" w:cs="Times New Roman"/>
          <w:b/>
          <w:bCs/>
          <w:kern w:val="0"/>
          <w:sz w:val="20"/>
          <w:szCs w:val="20"/>
        </w:rPr>
        <w:t>: For the IAB node which MT and DU subject to different</w:t>
      </w:r>
      <w:r>
        <w:rPr>
          <w:rFonts w:ascii="Times New Roman" w:eastAsia="宋体" w:hAnsi="Times New Roman" w:cs="Times New Roman"/>
          <w:b/>
          <w:bCs/>
          <w:kern w:val="0"/>
          <w:sz w:val="20"/>
          <w:szCs w:val="20"/>
        </w:rPr>
        <w:t xml:space="preserve"> donor CU</w:t>
      </w:r>
      <w:r w:rsidRPr="00B2702C">
        <w:rPr>
          <w:rFonts w:ascii="Times New Roman" w:eastAsia="宋体" w:hAnsi="Times New Roman" w:cs="Times New Roman"/>
          <w:b/>
          <w:bCs/>
          <w:kern w:val="0"/>
          <w:sz w:val="20"/>
          <w:szCs w:val="20"/>
        </w:rPr>
        <w:t xml:space="preserve">s, the UL routing and bearer mapping configurations are determined by the </w:t>
      </w:r>
      <w:r>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 which MT connected</w:t>
      </w:r>
      <w:r>
        <w:rPr>
          <w:rFonts w:ascii="Times New Roman" w:eastAsia="宋体" w:hAnsi="Times New Roman" w:cs="Times New Roman"/>
          <w:b/>
          <w:bCs/>
          <w:kern w:val="0"/>
          <w:sz w:val="20"/>
          <w:szCs w:val="20"/>
        </w:rPr>
        <w:t>, while the DL routing and bearer mapping configurations are determined by the CU which DU connected.</w:t>
      </w:r>
    </w:p>
    <w:p w14:paraId="080C996C" w14:textId="17C09A66" w:rsidR="005A0E1E" w:rsidRPr="00C66D02" w:rsidRDefault="005A0E1E" w:rsidP="005A0E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roposal 5</w:t>
      </w:r>
      <w:r w:rsidRPr="00C66D02">
        <w:rPr>
          <w:rFonts w:ascii="Times New Roman" w:eastAsia="宋体" w:hAnsi="Times New Roman" w:cs="Times New Roman"/>
          <w:b/>
          <w:bCs/>
          <w:kern w:val="0"/>
          <w:sz w:val="20"/>
          <w:szCs w:val="20"/>
        </w:rPr>
        <w:t xml:space="preserve">: The generated UL routing and bearer mapping configurations can be delivered to the </w:t>
      </w:r>
      <w:r>
        <w:rPr>
          <w:rFonts w:ascii="Times New Roman" w:eastAsia="宋体" w:hAnsi="Times New Roman" w:cs="Times New Roman"/>
          <w:b/>
          <w:bCs/>
          <w:kern w:val="0"/>
          <w:sz w:val="20"/>
          <w:szCs w:val="20"/>
        </w:rPr>
        <w:t xml:space="preserve">boundary </w:t>
      </w:r>
      <w:r w:rsidRPr="00C66D02">
        <w:rPr>
          <w:rFonts w:ascii="Times New Roman" w:eastAsia="宋体" w:hAnsi="Times New Roman" w:cs="Times New Roman"/>
          <w:b/>
          <w:bCs/>
          <w:kern w:val="0"/>
          <w:sz w:val="20"/>
          <w:szCs w:val="20"/>
        </w:rPr>
        <w:t>IAB-MT via the following two candidate options.</w:t>
      </w:r>
    </w:p>
    <w:p w14:paraId="66666FEA" w14:textId="77777777" w:rsidR="005A0E1E" w:rsidRPr="00C66D02" w:rsidRDefault="005A0E1E" w:rsidP="005A0E1E">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Opt1: the target</w:t>
      </w:r>
      <w:r>
        <w:rPr>
          <w:rFonts w:ascii="Times New Roman" w:eastAsia="宋体" w:hAnsi="Times New Roman" w:cs="Times New Roman"/>
          <w:b/>
          <w:bCs/>
          <w:kern w:val="0"/>
          <w:sz w:val="20"/>
          <w:szCs w:val="20"/>
        </w:rPr>
        <w:t xml:space="preserve"> donor CU</w:t>
      </w:r>
      <w:r w:rsidRPr="00C66D02">
        <w:rPr>
          <w:rFonts w:ascii="Times New Roman" w:eastAsia="宋体" w:hAnsi="Times New Roman" w:cs="Times New Roman"/>
          <w:b/>
          <w:bCs/>
          <w:kern w:val="0"/>
          <w:sz w:val="20"/>
          <w:szCs w:val="20"/>
        </w:rPr>
        <w:t xml:space="preserve"> configure the configuration to the</w:t>
      </w:r>
      <w:r>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IAB-MT directly via RRC</w:t>
      </w:r>
    </w:p>
    <w:p w14:paraId="02E0603E" w14:textId="3FD887D6" w:rsidR="005A0E1E" w:rsidRDefault="005A0E1E" w:rsidP="005A0E1E">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 xml:space="preserve">Opt2: the configurations are sent to source </w:t>
      </w:r>
      <w:r>
        <w:rPr>
          <w:rFonts w:ascii="Times New Roman" w:eastAsia="宋体" w:hAnsi="Times New Roman" w:cs="Times New Roman"/>
          <w:b/>
          <w:bCs/>
          <w:kern w:val="0"/>
          <w:sz w:val="20"/>
          <w:szCs w:val="20"/>
        </w:rPr>
        <w:t>donor CU</w:t>
      </w:r>
      <w:r w:rsidRPr="00C66D02">
        <w:rPr>
          <w:rFonts w:ascii="Times New Roman" w:eastAsia="宋体" w:hAnsi="Times New Roman" w:cs="Times New Roman"/>
          <w:b/>
          <w:bCs/>
          <w:kern w:val="0"/>
          <w:sz w:val="20"/>
          <w:szCs w:val="20"/>
        </w:rPr>
        <w:t xml:space="preserve"> and then </w:t>
      </w:r>
      <w:r>
        <w:rPr>
          <w:rFonts w:ascii="Times New Roman" w:eastAsia="宋体" w:hAnsi="Times New Roman" w:cs="Times New Roman"/>
          <w:b/>
          <w:bCs/>
          <w:kern w:val="0"/>
          <w:sz w:val="20"/>
          <w:szCs w:val="20"/>
        </w:rPr>
        <w:t>forward</w:t>
      </w:r>
      <w:r w:rsidRPr="00C66D02">
        <w:rPr>
          <w:rFonts w:ascii="Times New Roman" w:eastAsia="宋体" w:hAnsi="Times New Roman" w:cs="Times New Roman"/>
          <w:b/>
          <w:bCs/>
          <w:kern w:val="0"/>
          <w:sz w:val="20"/>
          <w:szCs w:val="20"/>
        </w:rPr>
        <w:t xml:space="preserve"> to the</w:t>
      </w:r>
      <w:r>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IAB-node via F1AP</w:t>
      </w:r>
    </w:p>
    <w:p w14:paraId="70DFF5E7" w14:textId="573DC977" w:rsidR="00047C38" w:rsidRPr="00047C38" w:rsidRDefault="00047C38" w:rsidP="00047C3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47C38">
        <w:rPr>
          <w:rFonts w:ascii="Times New Roman" w:eastAsia="宋体" w:hAnsi="Times New Roman" w:cs="Times New Roman" w:hint="eastAsia"/>
          <w:b/>
          <w:bCs/>
          <w:kern w:val="0"/>
          <w:sz w:val="20"/>
          <w:szCs w:val="20"/>
        </w:rPr>
        <w:t>P</w:t>
      </w:r>
      <w:r w:rsidRPr="00047C38">
        <w:rPr>
          <w:rFonts w:ascii="Times New Roman" w:eastAsia="宋体" w:hAnsi="Times New Roman" w:cs="Times New Roman"/>
          <w:b/>
          <w:bCs/>
          <w:kern w:val="0"/>
          <w:sz w:val="20"/>
          <w:szCs w:val="20"/>
        </w:rPr>
        <w:t xml:space="preserve">roposal 6: Whether to support the full migration need </w:t>
      </w:r>
      <w:r w:rsidR="00683FE8">
        <w:rPr>
          <w:rFonts w:ascii="Times New Roman" w:eastAsia="宋体" w:hAnsi="Times New Roman" w:cs="Times New Roman"/>
          <w:b/>
          <w:bCs/>
          <w:kern w:val="0"/>
          <w:sz w:val="20"/>
          <w:szCs w:val="20"/>
        </w:rPr>
        <w:t xml:space="preserve">to </w:t>
      </w:r>
      <w:r w:rsidRPr="00047C38">
        <w:rPr>
          <w:rFonts w:ascii="Times New Roman" w:eastAsia="宋体" w:hAnsi="Times New Roman" w:cs="Times New Roman"/>
          <w:b/>
          <w:bCs/>
          <w:kern w:val="0"/>
          <w:sz w:val="20"/>
          <w:szCs w:val="20"/>
        </w:rPr>
        <w:t>wait for the inputs from other working groups.</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479D6653" w14:textId="5E3065E5"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0B7397">
        <w:rPr>
          <w:rFonts w:ascii="Times New Roman" w:eastAsia="宋体" w:hAnsi="Times New Roman" w:cs="Times New Roman"/>
          <w:kern w:val="0"/>
          <w:sz w:val="20"/>
          <w:lang w:val="x-none"/>
        </w:rPr>
        <w:t>1</w:t>
      </w:r>
      <w:r>
        <w:rPr>
          <w:rFonts w:ascii="Times New Roman" w:eastAsia="宋体" w:hAnsi="Times New Roman" w:cs="Times New Roman"/>
          <w:kern w:val="0"/>
          <w:sz w:val="20"/>
          <w:lang w:val="x-none"/>
        </w:rPr>
        <w:t xml:space="preserve"> e-meeting.</w:t>
      </w:r>
    </w:p>
    <w:p w14:paraId="4B9E3127" w14:textId="58D73C66" w:rsidR="00953570" w:rsidRDefault="007130E2" w:rsidP="004633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RAN3 112 e-meeting.</w:t>
      </w:r>
    </w:p>
    <w:p w14:paraId="54350B24" w14:textId="78108E81" w:rsidR="008A64F1" w:rsidRPr="00463327" w:rsidRDefault="008A64F1" w:rsidP="004633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A64F1">
        <w:rPr>
          <w:rFonts w:ascii="Times New Roman" w:eastAsia="宋体" w:hAnsi="Times New Roman" w:cs="Times New Roman"/>
          <w:kern w:val="0"/>
          <w:sz w:val="20"/>
          <w:lang w:val="x-none"/>
        </w:rPr>
        <w:t>R3-212981</w:t>
      </w:r>
      <w:r>
        <w:rPr>
          <w:rFonts w:ascii="Times New Roman" w:eastAsia="宋体" w:hAnsi="Times New Roman" w:cs="Times New Roman"/>
          <w:kern w:val="0"/>
          <w:sz w:val="20"/>
          <w:lang w:val="x-none"/>
        </w:rPr>
        <w:t xml:space="preserve">. </w:t>
      </w:r>
      <w:r w:rsidRPr="008A64F1">
        <w:rPr>
          <w:rFonts w:ascii="Times New Roman" w:eastAsia="宋体" w:hAnsi="Times New Roman" w:cs="Times New Roman"/>
          <w:kern w:val="0"/>
          <w:sz w:val="20"/>
          <w:lang w:val="x-none"/>
        </w:rPr>
        <w:t>LS on Inter-donor migration</w:t>
      </w:r>
      <w:r>
        <w:rPr>
          <w:rFonts w:ascii="Times New Roman" w:eastAsia="宋体" w:hAnsi="Times New Roman" w:cs="Times New Roman"/>
          <w:kern w:val="0"/>
          <w:sz w:val="20"/>
          <w:lang w:val="x-none"/>
        </w:rPr>
        <w:t xml:space="preserve">. </w:t>
      </w:r>
    </w:p>
    <w:sectPr w:rsidR="008A64F1" w:rsidRPr="00463327"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A0057" w14:textId="77777777" w:rsidR="008C35EA" w:rsidRDefault="008C35EA" w:rsidP="00AA3FAE">
      <w:r>
        <w:separator/>
      </w:r>
    </w:p>
  </w:endnote>
  <w:endnote w:type="continuationSeparator" w:id="0">
    <w:p w14:paraId="2AE78127" w14:textId="77777777" w:rsidR="008C35EA" w:rsidRDefault="008C35E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A85D6" w14:textId="77777777" w:rsidR="008C35EA" w:rsidRDefault="008C35EA" w:rsidP="00AA3FAE">
      <w:r>
        <w:separator/>
      </w:r>
    </w:p>
  </w:footnote>
  <w:footnote w:type="continuationSeparator" w:id="0">
    <w:p w14:paraId="62A0A60C" w14:textId="77777777" w:rsidR="008C35EA" w:rsidRDefault="008C35E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35328"/>
    <w:rsid w:val="000363D0"/>
    <w:rsid w:val="00047C38"/>
    <w:rsid w:val="00047E11"/>
    <w:rsid w:val="000505CB"/>
    <w:rsid w:val="000507C7"/>
    <w:rsid w:val="000566E1"/>
    <w:rsid w:val="00060A16"/>
    <w:rsid w:val="0006683B"/>
    <w:rsid w:val="00073FB6"/>
    <w:rsid w:val="00090C05"/>
    <w:rsid w:val="000B1D18"/>
    <w:rsid w:val="000B7397"/>
    <w:rsid w:val="000B7C20"/>
    <w:rsid w:val="000C0305"/>
    <w:rsid w:val="000C0937"/>
    <w:rsid w:val="000C3F89"/>
    <w:rsid w:val="000D3D9F"/>
    <w:rsid w:val="00111B28"/>
    <w:rsid w:val="001125C5"/>
    <w:rsid w:val="00144EFB"/>
    <w:rsid w:val="001556FC"/>
    <w:rsid w:val="001750A9"/>
    <w:rsid w:val="0018496D"/>
    <w:rsid w:val="00190FAF"/>
    <w:rsid w:val="00191493"/>
    <w:rsid w:val="001A2383"/>
    <w:rsid w:val="001E557D"/>
    <w:rsid w:val="001E6FC7"/>
    <w:rsid w:val="001F0325"/>
    <w:rsid w:val="001F5824"/>
    <w:rsid w:val="001F6266"/>
    <w:rsid w:val="00201E93"/>
    <w:rsid w:val="00213791"/>
    <w:rsid w:val="002436E7"/>
    <w:rsid w:val="00243EAF"/>
    <w:rsid w:val="0024433A"/>
    <w:rsid w:val="00245E3F"/>
    <w:rsid w:val="00245EF5"/>
    <w:rsid w:val="002500C6"/>
    <w:rsid w:val="00256265"/>
    <w:rsid w:val="00261529"/>
    <w:rsid w:val="002770A7"/>
    <w:rsid w:val="00294674"/>
    <w:rsid w:val="002B2E1B"/>
    <w:rsid w:val="002B61AB"/>
    <w:rsid w:val="002C6DA5"/>
    <w:rsid w:val="002D6BE4"/>
    <w:rsid w:val="002F139A"/>
    <w:rsid w:val="002F4481"/>
    <w:rsid w:val="002F7DD1"/>
    <w:rsid w:val="00304AB3"/>
    <w:rsid w:val="003179AD"/>
    <w:rsid w:val="0032255E"/>
    <w:rsid w:val="00340F49"/>
    <w:rsid w:val="00343D32"/>
    <w:rsid w:val="003566F6"/>
    <w:rsid w:val="0036380C"/>
    <w:rsid w:val="00364AC3"/>
    <w:rsid w:val="003976B5"/>
    <w:rsid w:val="003A0B1A"/>
    <w:rsid w:val="003A4A2A"/>
    <w:rsid w:val="003A5735"/>
    <w:rsid w:val="003D66D4"/>
    <w:rsid w:val="003D6723"/>
    <w:rsid w:val="0040415F"/>
    <w:rsid w:val="00405DD1"/>
    <w:rsid w:val="00415D56"/>
    <w:rsid w:val="004326CA"/>
    <w:rsid w:val="00446E30"/>
    <w:rsid w:val="00461637"/>
    <w:rsid w:val="00463327"/>
    <w:rsid w:val="0046367F"/>
    <w:rsid w:val="004774BA"/>
    <w:rsid w:val="004A7B5F"/>
    <w:rsid w:val="004B28D8"/>
    <w:rsid w:val="004D3E8D"/>
    <w:rsid w:val="004E01D0"/>
    <w:rsid w:val="004F17F8"/>
    <w:rsid w:val="004F7753"/>
    <w:rsid w:val="004F7F21"/>
    <w:rsid w:val="00501BB6"/>
    <w:rsid w:val="00505DDA"/>
    <w:rsid w:val="00532DEC"/>
    <w:rsid w:val="005355E0"/>
    <w:rsid w:val="0054197C"/>
    <w:rsid w:val="0055025E"/>
    <w:rsid w:val="00561F85"/>
    <w:rsid w:val="00564234"/>
    <w:rsid w:val="00566768"/>
    <w:rsid w:val="005734BC"/>
    <w:rsid w:val="00585005"/>
    <w:rsid w:val="005939B2"/>
    <w:rsid w:val="005A0141"/>
    <w:rsid w:val="005A0E1E"/>
    <w:rsid w:val="005A5770"/>
    <w:rsid w:val="005C686B"/>
    <w:rsid w:val="006141DC"/>
    <w:rsid w:val="00615F6D"/>
    <w:rsid w:val="006160EC"/>
    <w:rsid w:val="00622F46"/>
    <w:rsid w:val="00631526"/>
    <w:rsid w:val="006577ED"/>
    <w:rsid w:val="00666EA1"/>
    <w:rsid w:val="00670878"/>
    <w:rsid w:val="00683FE8"/>
    <w:rsid w:val="00687695"/>
    <w:rsid w:val="006942D2"/>
    <w:rsid w:val="006A2B42"/>
    <w:rsid w:val="006C1E84"/>
    <w:rsid w:val="006C24CC"/>
    <w:rsid w:val="006D11C5"/>
    <w:rsid w:val="006D2AEE"/>
    <w:rsid w:val="006E530D"/>
    <w:rsid w:val="006E7CED"/>
    <w:rsid w:val="00703BAA"/>
    <w:rsid w:val="00707369"/>
    <w:rsid w:val="007130E2"/>
    <w:rsid w:val="00725ABE"/>
    <w:rsid w:val="007415A4"/>
    <w:rsid w:val="00747FD1"/>
    <w:rsid w:val="0078172C"/>
    <w:rsid w:val="007846F4"/>
    <w:rsid w:val="007C6371"/>
    <w:rsid w:val="007D4575"/>
    <w:rsid w:val="007F26BE"/>
    <w:rsid w:val="0083439C"/>
    <w:rsid w:val="00835D29"/>
    <w:rsid w:val="0084197E"/>
    <w:rsid w:val="008522C2"/>
    <w:rsid w:val="008559B3"/>
    <w:rsid w:val="00885223"/>
    <w:rsid w:val="0088742B"/>
    <w:rsid w:val="0089098B"/>
    <w:rsid w:val="0089705F"/>
    <w:rsid w:val="008A64F1"/>
    <w:rsid w:val="008C35EA"/>
    <w:rsid w:val="00926DCD"/>
    <w:rsid w:val="00952028"/>
    <w:rsid w:val="0095297E"/>
    <w:rsid w:val="00953570"/>
    <w:rsid w:val="009824F0"/>
    <w:rsid w:val="009859B7"/>
    <w:rsid w:val="009912C5"/>
    <w:rsid w:val="009C3C24"/>
    <w:rsid w:val="009C57CD"/>
    <w:rsid w:val="009D6382"/>
    <w:rsid w:val="009E506A"/>
    <w:rsid w:val="00A04D91"/>
    <w:rsid w:val="00A060BA"/>
    <w:rsid w:val="00A24C2E"/>
    <w:rsid w:val="00A26D85"/>
    <w:rsid w:val="00A26E1D"/>
    <w:rsid w:val="00A46452"/>
    <w:rsid w:val="00A51D78"/>
    <w:rsid w:val="00A765AC"/>
    <w:rsid w:val="00A77D6B"/>
    <w:rsid w:val="00A85027"/>
    <w:rsid w:val="00A933F5"/>
    <w:rsid w:val="00AA03A0"/>
    <w:rsid w:val="00AA290B"/>
    <w:rsid w:val="00AA3FAE"/>
    <w:rsid w:val="00AA7747"/>
    <w:rsid w:val="00AA7EAE"/>
    <w:rsid w:val="00AB0A5A"/>
    <w:rsid w:val="00AC3051"/>
    <w:rsid w:val="00AC5D1E"/>
    <w:rsid w:val="00AD58B4"/>
    <w:rsid w:val="00AD7903"/>
    <w:rsid w:val="00AF7716"/>
    <w:rsid w:val="00B2364A"/>
    <w:rsid w:val="00B25314"/>
    <w:rsid w:val="00B2702C"/>
    <w:rsid w:val="00B33EE7"/>
    <w:rsid w:val="00B403D4"/>
    <w:rsid w:val="00B72814"/>
    <w:rsid w:val="00B83738"/>
    <w:rsid w:val="00B90697"/>
    <w:rsid w:val="00BA2D04"/>
    <w:rsid w:val="00BA3DFB"/>
    <w:rsid w:val="00BC28DE"/>
    <w:rsid w:val="00BC3B4F"/>
    <w:rsid w:val="00BD6E1F"/>
    <w:rsid w:val="00BE0BE9"/>
    <w:rsid w:val="00BE3D97"/>
    <w:rsid w:val="00BF33F7"/>
    <w:rsid w:val="00BF6DFF"/>
    <w:rsid w:val="00C01559"/>
    <w:rsid w:val="00C03CDD"/>
    <w:rsid w:val="00C256A9"/>
    <w:rsid w:val="00C31487"/>
    <w:rsid w:val="00C330D5"/>
    <w:rsid w:val="00C33EEF"/>
    <w:rsid w:val="00C447AC"/>
    <w:rsid w:val="00C51572"/>
    <w:rsid w:val="00C53D68"/>
    <w:rsid w:val="00C62A74"/>
    <w:rsid w:val="00C66D02"/>
    <w:rsid w:val="00C72047"/>
    <w:rsid w:val="00C72410"/>
    <w:rsid w:val="00C92F7E"/>
    <w:rsid w:val="00C97524"/>
    <w:rsid w:val="00C975EA"/>
    <w:rsid w:val="00CA2C1E"/>
    <w:rsid w:val="00CA2F8B"/>
    <w:rsid w:val="00CA3CE0"/>
    <w:rsid w:val="00CC0392"/>
    <w:rsid w:val="00CD3CA4"/>
    <w:rsid w:val="00CF4D2F"/>
    <w:rsid w:val="00D101EF"/>
    <w:rsid w:val="00D104F6"/>
    <w:rsid w:val="00D10A73"/>
    <w:rsid w:val="00D224C9"/>
    <w:rsid w:val="00D51E3A"/>
    <w:rsid w:val="00D523ED"/>
    <w:rsid w:val="00D52BCC"/>
    <w:rsid w:val="00D705C7"/>
    <w:rsid w:val="00D730A4"/>
    <w:rsid w:val="00D7562B"/>
    <w:rsid w:val="00D76F6E"/>
    <w:rsid w:val="00D84224"/>
    <w:rsid w:val="00D90054"/>
    <w:rsid w:val="00D956D6"/>
    <w:rsid w:val="00DA1F42"/>
    <w:rsid w:val="00DA4C52"/>
    <w:rsid w:val="00DB41E0"/>
    <w:rsid w:val="00DB72A0"/>
    <w:rsid w:val="00DC21C1"/>
    <w:rsid w:val="00DD1110"/>
    <w:rsid w:val="00DE67F4"/>
    <w:rsid w:val="00DF28E0"/>
    <w:rsid w:val="00DF66F0"/>
    <w:rsid w:val="00E05C5B"/>
    <w:rsid w:val="00E067C4"/>
    <w:rsid w:val="00E133EF"/>
    <w:rsid w:val="00E50A2C"/>
    <w:rsid w:val="00E52A20"/>
    <w:rsid w:val="00E5514C"/>
    <w:rsid w:val="00E55D1E"/>
    <w:rsid w:val="00E609B5"/>
    <w:rsid w:val="00E6128E"/>
    <w:rsid w:val="00E706B6"/>
    <w:rsid w:val="00E713D6"/>
    <w:rsid w:val="00E813D0"/>
    <w:rsid w:val="00E95665"/>
    <w:rsid w:val="00EA73E5"/>
    <w:rsid w:val="00EE3198"/>
    <w:rsid w:val="00EE33D8"/>
    <w:rsid w:val="00EF57C9"/>
    <w:rsid w:val="00F1071C"/>
    <w:rsid w:val="00F110DE"/>
    <w:rsid w:val="00F209A5"/>
    <w:rsid w:val="00F52357"/>
    <w:rsid w:val="00F56AEB"/>
    <w:rsid w:val="00F6131B"/>
    <w:rsid w:val="00F67B2B"/>
    <w:rsid w:val="00F7451E"/>
    <w:rsid w:val="00F862F2"/>
    <w:rsid w:val="00F910F0"/>
    <w:rsid w:val="00FA440F"/>
    <w:rsid w:val="00FB4272"/>
    <w:rsid w:val="00FC144A"/>
    <w:rsid w:val="00FE1F2D"/>
    <w:rsid w:val="00FE7421"/>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1808</TotalTime>
  <Pages>3</Pages>
  <Words>1489</Words>
  <Characters>8490</Characters>
  <Application>Microsoft Office Word</Application>
  <DocSecurity>0</DocSecurity>
  <Lines>70</Lines>
  <Paragraphs>19</Paragraphs>
  <ScaleCrop>false</ScaleCrop>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104</cp:revision>
  <dcterms:created xsi:type="dcterms:W3CDTF">2021-01-15T00:45:00Z</dcterms:created>
  <dcterms:modified xsi:type="dcterms:W3CDTF">2021-08-06T01:48:00Z</dcterms:modified>
</cp:coreProperties>
</file>